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5009" w14:textId="33F2491C" w:rsidR="00780903" w:rsidRPr="00A522EE" w:rsidRDefault="00C94437" w:rsidP="00A522EE">
      <w:pPr>
        <w:pStyle w:val="a4"/>
        <w:spacing w:afterLines="50" w:after="120" w:line="360" w:lineRule="auto"/>
        <w:ind w:left="0" w:right="0"/>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私募基金管理人登記指引第</w:t>
      </w:r>
      <w:r w:rsidRPr="00C94437">
        <w:rPr>
          <w:rFonts w:asciiTheme="minorEastAsia" w:eastAsia="PMingLiU" w:hAnsiTheme="minorEastAsia"/>
          <w:sz w:val="24"/>
          <w:szCs w:val="24"/>
          <w:lang w:eastAsia="zh-TW"/>
        </w:rPr>
        <w:t xml:space="preserve"> 1 </w:t>
      </w:r>
      <w:r w:rsidRPr="00C94437">
        <w:rPr>
          <w:rFonts w:asciiTheme="minorEastAsia" w:eastAsia="PMingLiU" w:hAnsiTheme="minorEastAsia" w:hint="eastAsia"/>
          <w:sz w:val="24"/>
          <w:szCs w:val="24"/>
          <w:lang w:eastAsia="zh-TW"/>
        </w:rPr>
        <w:t>號</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基本經營要求（徵求意見稿）</w:t>
      </w:r>
    </w:p>
    <w:p w14:paraId="6ED26832" w14:textId="25B6B97E" w:rsidR="00780903" w:rsidRPr="00A522EE" w:rsidRDefault="00C94437" w:rsidP="00A522EE">
      <w:pPr>
        <w:pStyle w:val="a3"/>
        <w:spacing w:afterLines="50" w:after="120" w:line="360" w:lineRule="auto"/>
        <w:ind w:left="0" w:right="405"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第一條【制訂目的】爲了規範私募投資基金管理人登記業務，保護投資者合法權益，促進私募基金行業健康發展，</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根據《中華人民共和國證券投資基金法》《私募投資基金監督管理暫行辦法》《私募投資基金登記備案辦法》（以下簡稱《登記備案辦法》）等，制定本指引。</w:t>
      </w:r>
    </w:p>
    <w:p w14:paraId="18F43AFB" w14:textId="503B2474" w:rsidR="00780903" w:rsidRPr="00A522EE" w:rsidRDefault="00C94437" w:rsidP="00A522EE">
      <w:pPr>
        <w:pStyle w:val="a3"/>
        <w:spacing w:afterLines="50" w:after="120" w:line="360" w:lineRule="auto"/>
        <w:ind w:left="0" w:right="98"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第二條【主體資格】提請私募基金管理人登記的公司、合夥企業應當以開展私募基金管理業務爲目的而設立，自市</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場主體工商登記之日起</w:t>
      </w:r>
      <w:r w:rsidRPr="00C94437">
        <w:rPr>
          <w:rFonts w:asciiTheme="minorEastAsia" w:eastAsia="PMingLiU" w:hAnsiTheme="minorEastAsia"/>
          <w:sz w:val="24"/>
          <w:szCs w:val="24"/>
          <w:lang w:eastAsia="zh-TW"/>
        </w:rPr>
        <w:t xml:space="preserve"> 1 </w:t>
      </w:r>
      <w:r w:rsidRPr="00C94437">
        <w:rPr>
          <w:rFonts w:asciiTheme="minorEastAsia" w:eastAsia="PMingLiU" w:hAnsiTheme="minorEastAsia" w:hint="eastAsia"/>
          <w:sz w:val="24"/>
          <w:szCs w:val="24"/>
          <w:lang w:eastAsia="zh-TW"/>
        </w:rPr>
        <w:t>年內提請辦理私募基金管理人登記，</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但因國家有關部門政策變化需要暫緩辦理登記的除外。</w:t>
      </w:r>
    </w:p>
    <w:p w14:paraId="6C87698D" w14:textId="7E596AB5" w:rsidR="00780903" w:rsidRPr="00A522EE" w:rsidRDefault="00C94437" w:rsidP="00A522EE">
      <w:pPr>
        <w:pStyle w:val="a3"/>
        <w:spacing w:afterLines="50" w:after="120" w:line="360" w:lineRule="auto"/>
        <w:ind w:left="0" w:right="415" w:firstLine="0"/>
        <w:jc w:val="left"/>
        <w:rPr>
          <w:rFonts w:asciiTheme="minorEastAsia" w:eastAsiaTheme="minorEastAsia" w:hAnsiTheme="minorEastAsia"/>
          <w:sz w:val="24"/>
          <w:szCs w:val="24"/>
          <w:lang w:eastAsia="zh-TW"/>
        </w:rPr>
      </w:pPr>
      <w:r w:rsidRPr="00C94437">
        <w:rPr>
          <w:rFonts w:asciiTheme="minorEastAsia" w:eastAsia="PMingLiU" w:hAnsiTheme="minorEastAsia" w:hint="eastAsia"/>
          <w:sz w:val="24"/>
          <w:szCs w:val="24"/>
          <w:lang w:eastAsia="zh-TW"/>
        </w:rPr>
        <w:t>第三條【名稱】私募基金管理人應當在名稱中標明</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私募基金</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私募基金管理</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創業投資</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字樣，不得包含</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金融</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理財</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財富管理</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等字樣，法律、行政法規和</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中國證監會另有規定的除外。未經批准，不得在名稱中使用</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金融控股</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金融集團</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中證</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等字樣，不得在名稱中</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使用與國家重大發展戰略相同或者近似字樣，不得在名稱中使用違背公序良俗或者造成不良社會影響的字樣。</w:t>
      </w:r>
    </w:p>
    <w:p w14:paraId="26A3C34C" w14:textId="3600AC9E" w:rsidR="00780903" w:rsidRPr="00A522EE" w:rsidRDefault="00C94437" w:rsidP="00A522EE">
      <w:pPr>
        <w:pStyle w:val="a3"/>
        <w:spacing w:afterLines="50" w:after="120" w:line="360" w:lineRule="auto"/>
        <w:ind w:left="0" w:right="417"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第四條【經營範圍】私募基金管理人應當在經營範圍中標明</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私募投資基金管理</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私募證券投資基金管理</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私募股權投資基金管理</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創業投資基金管理</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等</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體現受托管理私募基金特點的字樣，不得包含與私募基金管理業務相衝突或者無關的業務。</w:t>
      </w:r>
    </w:p>
    <w:p w14:paraId="73881366" w14:textId="1995331D" w:rsidR="00780903" w:rsidRPr="00A522EE" w:rsidRDefault="00C94437" w:rsidP="00A522EE">
      <w:pPr>
        <w:pStyle w:val="a3"/>
        <w:spacing w:afterLines="50" w:after="120" w:line="360" w:lineRule="auto"/>
        <w:ind w:left="0" w:right="375"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私募基金管理人應當遵循專業化運營原則，其經營範圍應當與管理業務類型一致。</w:t>
      </w:r>
    </w:p>
    <w:p w14:paraId="465D1342" w14:textId="7B828224" w:rsidR="00780903" w:rsidRPr="00A522EE" w:rsidRDefault="00C94437" w:rsidP="00A522EE">
      <w:pPr>
        <w:pStyle w:val="a3"/>
        <w:spacing w:afterLines="50" w:after="120" w:line="360" w:lineRule="auto"/>
        <w:ind w:left="0" w:right="375"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提請登記爲私募證券基金管理人的，其經營範圍不得包含</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投資諮詢</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等諮詢類字樣。</w:t>
      </w:r>
    </w:p>
    <w:p w14:paraId="7BB8B7B2" w14:textId="178CB768" w:rsidR="00780903" w:rsidRPr="00A522EE" w:rsidRDefault="00C94437" w:rsidP="00A522EE">
      <w:pPr>
        <w:pStyle w:val="a3"/>
        <w:spacing w:afterLines="50" w:after="120" w:line="360" w:lineRule="auto"/>
        <w:ind w:left="0" w:right="420"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第五條【資本金】私募基金管理人注册資本及實繳資本均應當符合《登記備案辦法》相關規定，確保有足够的資本</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金保證機構有效運轉。</w:t>
      </w:r>
    </w:p>
    <w:p w14:paraId="786C1701" w14:textId="0876C25E" w:rsidR="00780903" w:rsidRPr="00A522EE" w:rsidRDefault="00C94437" w:rsidP="00A522EE">
      <w:pPr>
        <w:pStyle w:val="a3"/>
        <w:spacing w:afterLines="50" w:after="120" w:line="360" w:lineRule="auto"/>
        <w:ind w:left="0" w:right="98" w:firstLine="0"/>
        <w:jc w:val="left"/>
        <w:rPr>
          <w:rFonts w:asciiTheme="minorEastAsia" w:eastAsiaTheme="minorEastAsia" w:hAnsiTheme="minorEastAsia"/>
          <w:sz w:val="24"/>
          <w:szCs w:val="24"/>
          <w:lang w:eastAsia="zh-TW"/>
        </w:rPr>
      </w:pPr>
      <w:r w:rsidRPr="00C94437">
        <w:rPr>
          <w:rFonts w:asciiTheme="minorEastAsia" w:eastAsia="PMingLiU" w:hAnsiTheme="minorEastAsia" w:hint="eastAsia"/>
          <w:sz w:val="24"/>
          <w:szCs w:val="24"/>
          <w:lang w:eastAsia="zh-TW"/>
        </w:rPr>
        <w:t>私募基金管理人的資本金應當以貨幣出資，不得以實物、知識産權、土地使用權等非貨幣財産出資。境外出資人應當</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以可自由兌換的貨幣出資。</w:t>
      </w:r>
    </w:p>
    <w:p w14:paraId="65BB7E91" w14:textId="39F98783" w:rsidR="00780903" w:rsidRPr="00A522EE" w:rsidRDefault="00C94437" w:rsidP="00A522EE">
      <w:pPr>
        <w:pStyle w:val="a3"/>
        <w:spacing w:afterLines="50" w:after="120" w:line="360" w:lineRule="auto"/>
        <w:ind w:left="0" w:right="417"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第六條【高管持股】法定代表人、執行事務合夥人及其委派代表、負責投資管理的高級管理人員應當合計持有私募基金管理人一定比例的股權或者財産份額，實</w:t>
      </w:r>
      <w:r w:rsidRPr="00C94437">
        <w:rPr>
          <w:rFonts w:asciiTheme="minorEastAsia" w:eastAsia="PMingLiU" w:hAnsiTheme="minorEastAsia" w:hint="eastAsia"/>
          <w:sz w:val="24"/>
          <w:szCs w:val="24"/>
          <w:lang w:eastAsia="zh-TW"/>
        </w:rPr>
        <w:lastRenderedPageBreak/>
        <w:t>繳資本合計應當不低于私募基金管理人實繳資本的</w:t>
      </w:r>
      <w:r w:rsidRPr="00C94437">
        <w:rPr>
          <w:rFonts w:asciiTheme="minorEastAsia" w:eastAsia="PMingLiU" w:hAnsiTheme="minorEastAsia"/>
          <w:sz w:val="24"/>
          <w:szCs w:val="24"/>
          <w:lang w:eastAsia="zh-TW"/>
        </w:rPr>
        <w:t xml:space="preserve"> 20%</w:t>
      </w:r>
      <w:r w:rsidRPr="00C94437">
        <w:rPr>
          <w:rFonts w:asciiTheme="minorEastAsia" w:eastAsia="PMingLiU" w:hAnsiTheme="minorEastAsia" w:hint="eastAsia"/>
          <w:sz w:val="24"/>
          <w:szCs w:val="24"/>
          <w:lang w:eastAsia="zh-TW"/>
        </w:rPr>
        <w:t>，或者不低于《登記備案辦法》第八條第一款第一項規定的私募基金管理人最低實繳貨幣資本的</w:t>
      </w:r>
      <w:r w:rsidRPr="00C94437">
        <w:rPr>
          <w:rFonts w:asciiTheme="minorEastAsia" w:eastAsia="PMingLiU" w:hAnsiTheme="minorEastAsia"/>
          <w:sz w:val="24"/>
          <w:szCs w:val="24"/>
          <w:lang w:eastAsia="zh-TW"/>
        </w:rPr>
        <w:t>20%</w:t>
      </w:r>
      <w:r w:rsidRPr="00C94437">
        <w:rPr>
          <w:rFonts w:asciiTheme="minorEastAsia" w:eastAsia="PMingLiU" w:hAnsiTheme="minorEastAsia" w:hint="eastAsia"/>
          <w:sz w:val="24"/>
          <w:szCs w:val="24"/>
          <w:lang w:eastAsia="zh-TW"/>
        </w:rPr>
        <w:t>。</w:t>
      </w:r>
    </w:p>
    <w:p w14:paraId="64F36E98" w14:textId="66CFDE62" w:rsidR="00780903" w:rsidRPr="00A522EE" w:rsidRDefault="00C94437" w:rsidP="00A522EE">
      <w:pPr>
        <w:pStyle w:val="a3"/>
        <w:spacing w:afterLines="50" w:after="120" w:line="360" w:lineRule="auto"/>
        <w:ind w:left="0" w:right="417"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第七條【財務狀况】私募基金管理人應當具有良好的財務狀况，不存在大額應收應付、大額未清償負債或者不能清償到期債務等可能影響正常經營的情形。</w:t>
      </w:r>
    </w:p>
    <w:p w14:paraId="69E6A8F7" w14:textId="5F16969F" w:rsidR="00780903" w:rsidRPr="00A522EE" w:rsidRDefault="00C94437" w:rsidP="00A522EE">
      <w:pPr>
        <w:pStyle w:val="a3"/>
        <w:spacing w:afterLines="50" w:after="120" w:line="360" w:lineRule="auto"/>
        <w:ind w:left="0" w:right="420"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私募基金管理人存在大額長期股權投資的，應當建立有效隔離制度，保證私募基金財産與私募基金管理人固有財産獨立運作、分別核算。</w:t>
      </w:r>
    </w:p>
    <w:p w14:paraId="50ECED36" w14:textId="2D52EE6E" w:rsidR="00780903" w:rsidRPr="00A522EE" w:rsidRDefault="00C94437" w:rsidP="00A522EE">
      <w:pPr>
        <w:pStyle w:val="a3"/>
        <w:spacing w:afterLines="50" w:after="120" w:line="360" w:lineRule="auto"/>
        <w:ind w:left="0" w:right="375"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私募基金管理人與關聯方存在資金往來的，應當就是否存在不正當關聯交易進行說明。</w:t>
      </w:r>
    </w:p>
    <w:p w14:paraId="574DC75A" w14:textId="31325410" w:rsidR="00780903" w:rsidRPr="00A522EE" w:rsidRDefault="00C94437" w:rsidP="00A522EE">
      <w:pPr>
        <w:pStyle w:val="a3"/>
        <w:spacing w:afterLines="50" w:after="120" w:line="360" w:lineRule="auto"/>
        <w:ind w:left="0" w:right="417" w:firstLine="0"/>
        <w:jc w:val="left"/>
        <w:rPr>
          <w:rFonts w:asciiTheme="minorEastAsia" w:eastAsiaTheme="minorEastAsia" w:hAnsiTheme="minorEastAsia"/>
          <w:sz w:val="24"/>
          <w:szCs w:val="24"/>
          <w:lang w:eastAsia="zh-TW"/>
        </w:rPr>
      </w:pPr>
      <w:r w:rsidRPr="00C94437">
        <w:rPr>
          <w:rFonts w:asciiTheme="minorEastAsia" w:eastAsia="PMingLiU" w:hAnsiTheme="minorEastAsia" w:hint="eastAsia"/>
          <w:sz w:val="24"/>
          <w:szCs w:val="24"/>
          <w:lang w:eastAsia="zh-TW"/>
        </w:rPr>
        <w:t>第八條【經營場所】私募基金管理人應當具有獨立、穩</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定的經營場所，不得使用共享空間等穩定性不足的場地作爲經營場所，不得存在與其股東、合夥人、實際控制人、關聯</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方等混同辦公的情形。經營場所系租賃所得的，租賃期應當在</w:t>
      </w:r>
      <w:r w:rsidRPr="00C94437">
        <w:rPr>
          <w:rFonts w:asciiTheme="minorEastAsia" w:eastAsia="PMingLiU" w:hAnsiTheme="minorEastAsia"/>
          <w:sz w:val="24"/>
          <w:szCs w:val="24"/>
          <w:lang w:eastAsia="zh-TW"/>
        </w:rPr>
        <w:t xml:space="preserve"> 1 </w:t>
      </w:r>
      <w:r w:rsidRPr="00C94437">
        <w:rPr>
          <w:rFonts w:asciiTheme="minorEastAsia" w:eastAsia="PMingLiU" w:hAnsiTheme="minorEastAsia" w:hint="eastAsia"/>
          <w:sz w:val="24"/>
          <w:szCs w:val="24"/>
          <w:lang w:eastAsia="zh-TW"/>
        </w:rPr>
        <w:t>年以上，但有合理理由的除外。</w:t>
      </w:r>
    </w:p>
    <w:p w14:paraId="516F4888" w14:textId="2858066B" w:rsidR="00780903" w:rsidRPr="00A522EE" w:rsidRDefault="00C94437" w:rsidP="00A522EE">
      <w:pPr>
        <w:pStyle w:val="a3"/>
        <w:spacing w:afterLines="50" w:after="120" w:line="360" w:lineRule="auto"/>
        <w:ind w:left="0"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私募基金管理人注册地與經營地分離的，應當具有合理性幷說明理由。</w:t>
      </w:r>
    </w:p>
    <w:p w14:paraId="353E5DA0" w14:textId="5792B223" w:rsidR="00780903" w:rsidRPr="00A522EE" w:rsidRDefault="00C94437" w:rsidP="00A522EE">
      <w:pPr>
        <w:pStyle w:val="a3"/>
        <w:spacing w:afterLines="50" w:after="120" w:line="360" w:lineRule="auto"/>
        <w:ind w:left="0" w:right="417"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第九條【人員要求】《登記備案辦法》第八條第一款第四項規定的</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專職員工</w:t>
      </w:r>
      <w:r w:rsidRPr="00C94437">
        <w:rPr>
          <w:rFonts w:asciiTheme="minorEastAsia" w:eastAsia="PMingLiU" w:hAnsiTheme="minorEastAsia"/>
          <w:sz w:val="24"/>
          <w:szCs w:val="24"/>
          <w:lang w:eastAsia="zh-TW"/>
        </w:rPr>
        <w:t>”</w:t>
      </w:r>
      <w:r w:rsidRPr="00C94437">
        <w:rPr>
          <w:rFonts w:asciiTheme="minorEastAsia" w:eastAsia="PMingLiU" w:hAnsiTheme="minorEastAsia" w:hint="eastAsia"/>
          <w:sz w:val="24"/>
          <w:szCs w:val="24"/>
          <w:lang w:eastAsia="zh-TW"/>
        </w:rPr>
        <w:t>是指與私募基金管理人簽訂勞動合</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同幷繳納社保的正式員工，簽訂勞動合同或者勞務合同的外籍員工、退休返聘員工，以及國家機關、事業單位、政府及其授權機構出資設立幷控股的企業委派的高級管理人員。</w:t>
      </w:r>
    </w:p>
    <w:p w14:paraId="349AA342" w14:textId="2389580C" w:rsidR="00780903" w:rsidRPr="00A522EE" w:rsidRDefault="00C94437" w:rsidP="00A522EE">
      <w:pPr>
        <w:pStyle w:val="a3"/>
        <w:spacing w:afterLines="50" w:after="120" w:line="360" w:lineRule="auto"/>
        <w:ind w:left="0" w:right="405"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第十條【內部控制制度】私募基金管理人應當按照中國證監會和協會相關要求，建立健全風險控制機制，完善風險控制措施，保持經營運作合法、合規，保證內部控制健全、有效。</w:t>
      </w:r>
    </w:p>
    <w:p w14:paraId="2B75F68A" w14:textId="48A3AB16" w:rsidR="00780903" w:rsidRPr="00A522EE" w:rsidRDefault="00C94437" w:rsidP="00A522EE">
      <w:pPr>
        <w:pStyle w:val="a3"/>
        <w:spacing w:afterLines="50" w:after="120" w:line="360" w:lineRule="auto"/>
        <w:ind w:left="0" w:right="417"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私募基金管理人應當建立科學合理、運轉有效的合規管理和風險控制制度，包括運營風險控制、信息披露、機構內部交易記錄、關聯交易管理、防範內幕交易及利益輸送、防</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火墻制度與業務隔離和從業人員買賣證券申報等制度，以及私募基金宣傳推介及募集、合格投資者適當性、保障資金安全、投資業務控制、公平交易、外包控制等制度。</w:t>
      </w:r>
    </w:p>
    <w:p w14:paraId="36DC8059" w14:textId="388F0EF3" w:rsidR="00780903" w:rsidRPr="00A522EE" w:rsidRDefault="00C94437" w:rsidP="00A522EE">
      <w:pPr>
        <w:pStyle w:val="a3"/>
        <w:spacing w:afterLines="50" w:after="120" w:line="360" w:lineRule="auto"/>
        <w:ind w:left="0" w:right="417"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第十一條【應急處理預案】私募基金管理人應當建立突發事件處理預案，對嚴重損害投資者利益、影響正常經營或</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者可能引發系統性風險的突發事件的處理機</w:t>
      </w:r>
      <w:r w:rsidRPr="00C94437">
        <w:rPr>
          <w:rFonts w:asciiTheme="minorEastAsia" w:eastAsia="PMingLiU" w:hAnsiTheme="minorEastAsia" w:hint="eastAsia"/>
          <w:sz w:val="24"/>
          <w:szCs w:val="24"/>
          <w:lang w:eastAsia="zh-TW"/>
        </w:rPr>
        <w:lastRenderedPageBreak/>
        <w:t>製作出明確安排。發生前述突發事件時，私募基金管理人應當按照預案妥善處理，幷及時向注册地所在的中國證監會派出機構和協會報告。</w:t>
      </w:r>
    </w:p>
    <w:p w14:paraId="44349DD0" w14:textId="5AFDE035" w:rsidR="00780903" w:rsidRPr="00A522EE" w:rsidRDefault="00C94437" w:rsidP="00A522EE">
      <w:pPr>
        <w:pStyle w:val="a3"/>
        <w:spacing w:afterLines="50" w:after="120" w:line="360" w:lineRule="auto"/>
        <w:ind w:left="0" w:right="259"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第十二條【商業計劃書】私募基金管理人的商業計劃書應當清晰合理、具有可行性，與私募基金管理人的業務方向、</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發展規劃、人員配備等相匹配。</w:t>
      </w:r>
    </w:p>
    <w:p w14:paraId="31971958" w14:textId="5D9CAEB3" w:rsidR="00780903" w:rsidRPr="00A522EE" w:rsidRDefault="00C94437" w:rsidP="00A522EE">
      <w:pPr>
        <w:pStyle w:val="a3"/>
        <w:spacing w:afterLines="50" w:after="120" w:line="360" w:lineRule="auto"/>
        <w:ind w:left="0" w:right="417"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第十三條【衝突業務】私募基金管理人不得直接或者間接從事《登記備案辦法》第八十條規定的衝突業務，不得通過設立子公司、合夥企業或者擔任投資顧問等形式，變相開展衝突業務。</w:t>
      </w:r>
    </w:p>
    <w:p w14:paraId="0CB40436" w14:textId="7EEE1CF0" w:rsidR="00780903" w:rsidRPr="00A522EE" w:rsidRDefault="00C94437" w:rsidP="00A522EE">
      <w:pPr>
        <w:pStyle w:val="a3"/>
        <w:spacing w:afterLines="50" w:after="120" w:line="360" w:lineRule="auto"/>
        <w:ind w:left="0" w:right="415"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第十四條【外資機構】私募證券基金管理人由于出資比例變更或者自然人出資人國籍變更等導致外資出資比例不</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低于</w:t>
      </w:r>
      <w:r w:rsidRPr="00C94437">
        <w:rPr>
          <w:rFonts w:asciiTheme="minorEastAsia" w:eastAsia="PMingLiU" w:hAnsiTheme="minorEastAsia"/>
          <w:sz w:val="24"/>
          <w:szCs w:val="24"/>
          <w:lang w:eastAsia="zh-TW"/>
        </w:rPr>
        <w:t xml:space="preserve"> 25%</w:t>
      </w:r>
      <w:r w:rsidRPr="00C94437">
        <w:rPr>
          <w:rFonts w:asciiTheme="minorEastAsia" w:eastAsia="PMingLiU" w:hAnsiTheme="minorEastAsia" w:hint="eastAsia"/>
          <w:sz w:val="24"/>
          <w:szCs w:val="24"/>
          <w:lang w:eastAsia="zh-TW"/>
        </w:rPr>
        <w:t>的，應當符合《登記備案辦法》第十四條規定的登記要求，幷按規定向協會履行變更手續。</w:t>
      </w:r>
    </w:p>
    <w:p w14:paraId="71124AC7" w14:textId="6DFC9A14" w:rsidR="00780903" w:rsidRPr="00A522EE" w:rsidRDefault="00C94437" w:rsidP="00A522EE">
      <w:pPr>
        <w:pStyle w:val="a3"/>
        <w:spacing w:afterLines="50" w:after="120" w:line="360" w:lineRule="auto"/>
        <w:ind w:left="0" w:right="417"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第十五條【禁業要求】法律、行政法規、國家有關部門</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對相關人員出資或者執業有限制的，相關人員在限制期限內不得成爲私募基金管理人的股東、合夥人、實際控制人，或</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者擔任私募基金管理人的董事、監事、高級管理人員及從業</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人員。</w:t>
      </w:r>
    </w:p>
    <w:p w14:paraId="7021D670" w14:textId="7A469181" w:rsidR="00780903" w:rsidRPr="00A522EE" w:rsidRDefault="00C94437" w:rsidP="00A522EE">
      <w:pPr>
        <w:pStyle w:val="a3"/>
        <w:spacing w:afterLines="50" w:after="120" w:line="360" w:lineRule="auto"/>
        <w:ind w:left="0" w:right="405"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第十六條【賬戶鎖定】私募基金管理人通過登記備案電子系統辦理登記備案和信息變更等相關業務。私募基金管理人因《登記備案辦法》第二十五條第二款規定被終止辦理管理人登記，或者被協會按照規定暫停辦理私募基金備案的，</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協會在相關期限届滿前關閉其登記備案電子系統登記備案</w:t>
      </w:r>
      <w:r w:rsidRPr="00C94437">
        <w:rPr>
          <w:rFonts w:asciiTheme="minorEastAsia" w:eastAsia="PMingLiU" w:hAnsiTheme="minorEastAsia"/>
          <w:sz w:val="24"/>
          <w:szCs w:val="24"/>
          <w:lang w:eastAsia="zh-TW"/>
        </w:rPr>
        <w:t xml:space="preserve"> </w:t>
      </w:r>
      <w:r w:rsidRPr="00C94437">
        <w:rPr>
          <w:rFonts w:asciiTheme="minorEastAsia" w:eastAsia="PMingLiU" w:hAnsiTheme="minorEastAsia" w:hint="eastAsia"/>
          <w:sz w:val="24"/>
          <w:szCs w:val="24"/>
          <w:lang w:eastAsia="zh-TW"/>
        </w:rPr>
        <w:t>相關業務報送端口，幷說明理由，對其提請辦理的登記備案相關材料不予接收。</w:t>
      </w:r>
    </w:p>
    <w:p w14:paraId="10CF641D" w14:textId="6A649E1F" w:rsidR="00780903" w:rsidRPr="00A522EE" w:rsidRDefault="00C94437" w:rsidP="00A522EE">
      <w:pPr>
        <w:pStyle w:val="a3"/>
        <w:spacing w:afterLines="50" w:after="120" w:line="360" w:lineRule="auto"/>
        <w:ind w:left="0" w:firstLine="0"/>
        <w:jc w:val="left"/>
        <w:rPr>
          <w:rFonts w:asciiTheme="minorEastAsia" w:eastAsiaTheme="minorEastAsia" w:hAnsiTheme="minorEastAsia"/>
          <w:sz w:val="24"/>
          <w:szCs w:val="24"/>
        </w:rPr>
      </w:pPr>
      <w:r w:rsidRPr="00C94437">
        <w:rPr>
          <w:rFonts w:asciiTheme="minorEastAsia" w:eastAsia="PMingLiU" w:hAnsiTheme="minorEastAsia" w:hint="eastAsia"/>
          <w:sz w:val="24"/>
          <w:szCs w:val="24"/>
          <w:lang w:eastAsia="zh-TW"/>
        </w:rPr>
        <w:t>第十七條【實施日期】本指引自</w:t>
      </w:r>
      <w:r w:rsidRPr="00C94437">
        <w:rPr>
          <w:rFonts w:asciiTheme="minorEastAsia" w:eastAsia="PMingLiU" w:hAnsiTheme="minorEastAsia"/>
          <w:sz w:val="24"/>
          <w:szCs w:val="24"/>
          <w:lang w:eastAsia="zh-TW"/>
        </w:rPr>
        <w:t xml:space="preserve"> 2023 </w:t>
      </w:r>
      <w:r w:rsidRPr="00C94437">
        <w:rPr>
          <w:rFonts w:asciiTheme="minorEastAsia" w:eastAsia="PMingLiU" w:hAnsiTheme="minorEastAsia" w:hint="eastAsia"/>
          <w:sz w:val="24"/>
          <w:szCs w:val="24"/>
          <w:lang w:eastAsia="zh-TW"/>
        </w:rPr>
        <w:t>年</w:t>
      </w:r>
      <w:r w:rsidRPr="00C94437">
        <w:rPr>
          <w:rFonts w:asciiTheme="minorEastAsia" w:eastAsia="PMingLiU" w:hAnsiTheme="minorEastAsia"/>
          <w:sz w:val="24"/>
          <w:szCs w:val="24"/>
          <w:lang w:eastAsia="zh-TW"/>
        </w:rPr>
        <w:t xml:space="preserve"> X </w:t>
      </w:r>
      <w:r w:rsidRPr="00C94437">
        <w:rPr>
          <w:rFonts w:asciiTheme="minorEastAsia" w:eastAsia="PMingLiU" w:hAnsiTheme="minorEastAsia" w:hint="eastAsia"/>
          <w:sz w:val="24"/>
          <w:szCs w:val="24"/>
          <w:lang w:eastAsia="zh-TW"/>
        </w:rPr>
        <w:t>月</w:t>
      </w:r>
      <w:r w:rsidRPr="00C94437">
        <w:rPr>
          <w:rFonts w:asciiTheme="minorEastAsia" w:eastAsia="PMingLiU" w:hAnsiTheme="minorEastAsia"/>
          <w:sz w:val="24"/>
          <w:szCs w:val="24"/>
          <w:lang w:eastAsia="zh-TW"/>
        </w:rPr>
        <w:t xml:space="preserve"> X </w:t>
      </w:r>
      <w:r w:rsidRPr="00C94437">
        <w:rPr>
          <w:rFonts w:asciiTheme="minorEastAsia" w:eastAsia="PMingLiU" w:hAnsiTheme="minorEastAsia" w:hint="eastAsia"/>
          <w:sz w:val="24"/>
          <w:szCs w:val="24"/>
          <w:lang w:eastAsia="zh-TW"/>
        </w:rPr>
        <w:t>日起施行。</w:t>
      </w:r>
    </w:p>
    <w:sectPr w:rsidR="00780903" w:rsidRPr="00A522EE">
      <w:footerReference w:type="default" r:id="rId6"/>
      <w:pgSz w:w="11910" w:h="16840"/>
      <w:pgMar w:top="1500" w:right="1380" w:bottom="1440" w:left="1680" w:header="0" w:footer="1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0E16" w14:textId="77777777" w:rsidR="00D81E5D" w:rsidRDefault="00D81E5D">
      <w:r>
        <w:separator/>
      </w:r>
    </w:p>
  </w:endnote>
  <w:endnote w:type="continuationSeparator" w:id="0">
    <w:p w14:paraId="73B5482C" w14:textId="77777777" w:rsidR="00D81E5D" w:rsidRDefault="00D8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F94A" w14:textId="77777777" w:rsidR="00780903" w:rsidRDefault="00000000">
    <w:pPr>
      <w:pStyle w:val="a3"/>
      <w:spacing w:line="14" w:lineRule="auto"/>
      <w:ind w:left="0" w:firstLine="0"/>
      <w:jc w:val="left"/>
      <w:rPr>
        <w:sz w:val="20"/>
      </w:rPr>
    </w:pPr>
    <w:r>
      <w:pict w14:anchorId="5FB51194">
        <v:shapetype id="_x0000_t202" coordsize="21600,21600" o:spt="202" path="m,l,21600r21600,l21600,xe">
          <v:stroke joinstyle="miter"/>
          <v:path gradientshapeok="t" o:connecttype="rect"/>
        </v:shapetype>
        <v:shape id="_x0000_s1025" type="#_x0000_t202" style="position:absolute;margin-left:292.45pt;margin-top:768.2pt;width:10.5pt;height:11pt;z-index:-251658752;mso-position-horizontal-relative:page;mso-position-vertical-relative:page" filled="f" stroked="f">
          <v:textbox inset="0,0,0,0">
            <w:txbxContent>
              <w:p w14:paraId="4070513A" w14:textId="4221AC1C" w:rsidR="00780903" w:rsidRDefault="00000000">
                <w:pPr>
                  <w:spacing w:line="200" w:lineRule="exact"/>
                  <w:ind w:left="60"/>
                  <w:rPr>
                    <w:sz w:val="18"/>
                  </w:rPr>
                </w:pPr>
                <w:r>
                  <w:fldChar w:fldCharType="begin"/>
                </w:r>
                <w:r>
                  <w:rPr>
                    <w:sz w:val="18"/>
                  </w:rPr>
                  <w:instrText xml:space="preserve"> PAGE </w:instrText>
                </w:r>
                <w:r>
                  <w:fldChar w:fldCharType="separate"/>
                </w:r>
                <w:r w:rsidR="00C94437" w:rsidRPr="00C94437">
                  <w:rPr>
                    <w:rFonts w:eastAsia="PMingLiU"/>
                    <w:lang w:eastAsia="zh-TW"/>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0246" w14:textId="77777777" w:rsidR="00D81E5D" w:rsidRDefault="00D81E5D">
      <w:r>
        <w:separator/>
      </w:r>
    </w:p>
  </w:footnote>
  <w:footnote w:type="continuationSeparator" w:id="0">
    <w:p w14:paraId="6745920B" w14:textId="77777777" w:rsidR="00D81E5D" w:rsidRDefault="00D81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80903"/>
    <w:rsid w:val="003F21A4"/>
    <w:rsid w:val="00780903"/>
    <w:rsid w:val="00A522EE"/>
    <w:rsid w:val="00C94437"/>
    <w:rsid w:val="00D8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AFD33"/>
  <w15:docId w15:val="{8D9CCA1A-B7FA-4B49-A0F7-BFD049B0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 w:eastAsia="仿宋" w:hAnsi="仿宋" w:cs="仿宋"/>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firstLine="640"/>
      <w:jc w:val="both"/>
    </w:pPr>
    <w:rPr>
      <w:sz w:val="32"/>
      <w:szCs w:val="32"/>
    </w:rPr>
  </w:style>
  <w:style w:type="paragraph" w:styleId="a4">
    <w:name w:val="Title"/>
    <w:basedOn w:val="a"/>
    <w:uiPriority w:val="10"/>
    <w:qFormat/>
    <w:pPr>
      <w:spacing w:line="602" w:lineRule="exact"/>
      <w:ind w:left="1727" w:right="2024"/>
      <w:jc w:val="center"/>
    </w:pPr>
    <w:rPr>
      <w:rFonts w:ascii="微软雅黑" w:eastAsia="微软雅黑" w:hAnsi="微软雅黑" w:cs="微软雅黑"/>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21790074@qq.com</cp:lastModifiedBy>
  <cp:revision>5</cp:revision>
  <dcterms:created xsi:type="dcterms:W3CDTF">2022-12-31T02:51:00Z</dcterms:created>
  <dcterms:modified xsi:type="dcterms:W3CDTF">2022-12-31T04:00:00Z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WPS 文字</vt:lpwstr>
  </property>
  <property fmtid="{D5CDD505-2E9C-101B-9397-08002B2CF9AE}" pid="4" name="LastSaved">
    <vt:filetime>2022-12-31T00:00:00Z</vt:filetime>
  </property>
</Properties>
</file>