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DB98" w14:textId="07A311A3" w:rsidR="0042089A" w:rsidRPr="00094D3E" w:rsidRDefault="003808D8" w:rsidP="00094D3E">
      <w:pPr>
        <w:pStyle w:val="a4"/>
        <w:spacing w:afterLines="50" w:after="120" w:line="360" w:lineRule="auto"/>
        <w:ind w:left="0" w:right="0"/>
        <w:rPr>
          <w:rFonts w:asciiTheme="minorEastAsia" w:eastAsiaTheme="minorEastAsia" w:hAnsiTheme="minorEastAsia"/>
          <w:sz w:val="24"/>
          <w:szCs w:val="24"/>
        </w:rPr>
      </w:pPr>
      <w:r w:rsidRPr="003808D8">
        <w:rPr>
          <w:rFonts w:asciiTheme="minorEastAsia" w:eastAsia="PMingLiU" w:hAnsiTheme="minorEastAsia" w:hint="eastAsia"/>
          <w:spacing w:val="-1"/>
          <w:sz w:val="24"/>
          <w:szCs w:val="24"/>
          <w:lang w:eastAsia="zh-TW"/>
        </w:rPr>
        <w:t>私募基金管理人登記指引第</w:t>
      </w:r>
      <w:r w:rsidRPr="003808D8">
        <w:rPr>
          <w:rFonts w:asciiTheme="minorEastAsia" w:eastAsia="PMingLiU" w:hAnsiTheme="minorEastAsia"/>
          <w:spacing w:val="-1"/>
          <w:sz w:val="24"/>
          <w:szCs w:val="24"/>
          <w:lang w:eastAsia="zh-TW"/>
        </w:rPr>
        <w:t xml:space="preserve"> </w:t>
      </w:r>
      <w:r w:rsidRPr="003808D8">
        <w:rPr>
          <w:rFonts w:asciiTheme="minorEastAsia" w:eastAsia="PMingLiU" w:hAnsiTheme="minorEastAsia"/>
          <w:sz w:val="24"/>
          <w:szCs w:val="24"/>
          <w:lang w:eastAsia="zh-TW"/>
        </w:rPr>
        <w:t>2</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z w:val="24"/>
          <w:szCs w:val="24"/>
          <w:lang w:eastAsia="zh-TW"/>
        </w:rPr>
        <w:t>號</w:t>
      </w:r>
      <w:r w:rsidRPr="003808D8">
        <w:rPr>
          <w:rFonts w:asciiTheme="minorEastAsia" w:eastAsia="PMingLiU" w:hAnsiTheme="minorEastAsia"/>
          <w:w w:val="95"/>
          <w:sz w:val="24"/>
          <w:szCs w:val="24"/>
          <w:lang w:eastAsia="zh-TW"/>
        </w:rPr>
        <w:t>——</w:t>
      </w:r>
      <w:r w:rsidRPr="003808D8">
        <w:rPr>
          <w:rFonts w:asciiTheme="minorEastAsia" w:eastAsia="PMingLiU" w:hAnsiTheme="minorEastAsia" w:hint="eastAsia"/>
          <w:w w:val="95"/>
          <w:sz w:val="24"/>
          <w:szCs w:val="24"/>
          <w:lang w:eastAsia="zh-TW"/>
        </w:rPr>
        <w:t>股東、合夥人、實際控制人</w:t>
      </w:r>
      <w:r w:rsidRPr="003808D8">
        <w:rPr>
          <w:rFonts w:asciiTheme="minorEastAsia" w:eastAsia="PMingLiU" w:hAnsiTheme="minorEastAsia" w:hint="eastAsia"/>
          <w:sz w:val="24"/>
          <w:szCs w:val="24"/>
          <w:lang w:eastAsia="zh-TW"/>
        </w:rPr>
        <w:t>（徵求意見稿）</w:t>
      </w:r>
    </w:p>
    <w:p w14:paraId="0A22E79B" w14:textId="1406D959"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第一條</w:t>
      </w:r>
      <w:r w:rsidRPr="003808D8">
        <w:rPr>
          <w:rFonts w:asciiTheme="minorEastAsia" w:eastAsia="PMingLiU" w:hAnsiTheme="minorEastAsia" w:hint="eastAsia"/>
          <w:spacing w:val="-2"/>
          <w:sz w:val="24"/>
          <w:szCs w:val="24"/>
          <w:lang w:eastAsia="zh-TW"/>
        </w:rPr>
        <w:t>【制訂目的】爲了規範私募投資基金管理人登記業務，保護投資者合法權益，</w:t>
      </w:r>
      <w:r w:rsidRPr="003808D8">
        <w:rPr>
          <w:rFonts w:asciiTheme="minorEastAsia" w:eastAsia="PMingLiU" w:hAnsiTheme="minorEastAsia" w:hint="eastAsia"/>
          <w:spacing w:val="-4"/>
          <w:sz w:val="24"/>
          <w:szCs w:val="24"/>
          <w:lang w:eastAsia="zh-TW"/>
        </w:rPr>
        <w:t>促進私募基金行業健康發展，</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根據《中華人民共和國證券投資基金法》《私募投資基金監</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督管理暫行辦法》《私募投資基金登記備案辦法》（以下簡稱《登記備案辦法》）等，制定本指引。</w:t>
      </w:r>
    </w:p>
    <w:p w14:paraId="781BED3D" w14:textId="4F42B835" w:rsidR="0042089A" w:rsidRPr="00094D3E" w:rsidRDefault="003808D8" w:rsidP="00094D3E">
      <w:pPr>
        <w:pStyle w:val="a3"/>
        <w:spacing w:before="175"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第二條【出資架構】私募基金管理人的出資架構應當簡明、清晰、穩定，不存在層級過多、結構複雜等情形，無合理理由不得通過特殊目的載體設立兩層及以上的嵌套架構，</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不得通過設立特殊目的載體等方式規避對股東、合夥人、實際控制人的財務、誠信和專業能力等相關要求。</w:t>
      </w:r>
    </w:p>
    <w:p w14:paraId="62692562" w14:textId="2A4087D6"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第三條【上市公司】私募基金管理人控股股東、實際控制人爲上市公司或者上市公司實際控制人的，該上市公司應當具有良好的財務狀况，幷按照規定履行信息披露程序，建</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立業務隔離制度，防範利益衝突。</w:t>
      </w:r>
    </w:p>
    <w:p w14:paraId="76CC13EA" w14:textId="48A899C8"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私募基金管理人的控股股東、實際控制人、普通合夥人和法定代表人、高級管理人員、執行事務合夥人及其委派代表擔任上市公司高級管理人員的，應當出具該上市公司知悉相關情况的說明材料。</w:t>
      </w:r>
    </w:p>
    <w:p w14:paraId="1C54AC7E" w14:textId="2BE6F2A2"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第四條【金融機構】私募基金管理人出資行爲涉及金融管理部門、國有資産管理部門等其他主管部門職責的，應當符合相關部門的規定。</w:t>
      </w:r>
    </w:p>
    <w:p w14:paraId="776A1930" w14:textId="1479D999" w:rsidR="0042089A" w:rsidRPr="00094D3E" w:rsidRDefault="003808D8" w:rsidP="00094D3E">
      <w:pPr>
        <w:pStyle w:val="a3"/>
        <w:spacing w:before="175"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私募基金管理人的股東、合夥人、實際控制人在金融機構任職的，應當出具該金融機構知悉相關情况的說明材料，</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幷符合相關競業禁止要求。</w:t>
      </w:r>
    </w:p>
    <w:p w14:paraId="3C554837" w14:textId="353F995B"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私募基金管理人的高級管理人員及其他從業人員在金</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融機構任職的，應當符合金融機構相關規定。</w:t>
      </w:r>
    </w:p>
    <w:p w14:paraId="2EC03089" w14:textId="5C3A5469"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第五條【資管産品出資限制】私募基金管理人的實際控制人不得爲資産管理産品。</w:t>
      </w:r>
    </w:p>
    <w:p w14:paraId="1E12C759" w14:textId="7AB24C47"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lang w:eastAsia="zh-TW"/>
        </w:rPr>
      </w:pPr>
      <w:r w:rsidRPr="003808D8">
        <w:rPr>
          <w:rFonts w:asciiTheme="minorEastAsia" w:eastAsia="PMingLiU" w:hAnsiTheme="minorEastAsia" w:hint="eastAsia"/>
          <w:spacing w:val="-4"/>
          <w:sz w:val="24"/>
          <w:szCs w:val="24"/>
          <w:lang w:eastAsia="zh-TW"/>
        </w:rPr>
        <w:t>資産管理産品不得作爲私募基金管理人主要出資人，對私募基金管理人直接或者間接出資比例合計不得高于</w:t>
      </w:r>
      <w:r w:rsidRPr="003808D8">
        <w:rPr>
          <w:rFonts w:asciiTheme="minorEastAsia" w:eastAsia="PMingLiU" w:hAnsiTheme="minorEastAsia"/>
          <w:spacing w:val="-4"/>
          <w:sz w:val="24"/>
          <w:szCs w:val="24"/>
          <w:lang w:eastAsia="zh-TW"/>
        </w:rPr>
        <w:t xml:space="preserve"> 25%</w:t>
      </w:r>
      <w:r w:rsidRPr="003808D8">
        <w:rPr>
          <w:rFonts w:asciiTheme="minorEastAsia" w:eastAsia="PMingLiU" w:hAnsiTheme="minorEastAsia" w:hint="eastAsia"/>
          <w:spacing w:val="-4"/>
          <w:sz w:val="24"/>
          <w:szCs w:val="24"/>
          <w:lang w:eastAsia="zh-TW"/>
        </w:rPr>
        <w:t>。對省級以上政府及其授權機構出資設立的私募基金管理人另有規定的，從其規定。</w:t>
      </w:r>
    </w:p>
    <w:p w14:paraId="51765110" w14:textId="4C86CAC8" w:rsidR="0042089A" w:rsidRPr="00094D3E" w:rsidRDefault="003808D8" w:rsidP="00094D3E">
      <w:pPr>
        <w:pStyle w:val="a3"/>
        <w:spacing w:before="16"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第六條【衝突業務限制】私募基金管理人的直接或者間接出資人涉及衝突業務的，出資比例合計不得高于</w:t>
      </w:r>
      <w:r w:rsidRPr="003808D8">
        <w:rPr>
          <w:rFonts w:asciiTheme="minorEastAsia" w:eastAsia="PMingLiU" w:hAnsiTheme="minorEastAsia"/>
          <w:spacing w:val="-4"/>
          <w:sz w:val="24"/>
          <w:szCs w:val="24"/>
          <w:lang w:eastAsia="zh-TW"/>
        </w:rPr>
        <w:t>25%</w:t>
      </w:r>
      <w:r w:rsidRPr="003808D8">
        <w:rPr>
          <w:rFonts w:asciiTheme="minorEastAsia" w:eastAsia="PMingLiU" w:hAnsiTheme="minorEastAsia" w:hint="eastAsia"/>
          <w:spacing w:val="-4"/>
          <w:sz w:val="24"/>
          <w:szCs w:val="24"/>
          <w:lang w:eastAsia="zh-TW"/>
        </w:rPr>
        <w:t>。</w:t>
      </w:r>
    </w:p>
    <w:p w14:paraId="4310A156" w14:textId="03A39674"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lastRenderedPageBreak/>
        <w:t>第七條【負面清單】《登記備案辦法》第十六條第四項</w:t>
      </w:r>
    </w:p>
    <w:p w14:paraId="700A47DE" w14:textId="50E6E5F1" w:rsidR="0042089A" w:rsidRPr="00094D3E" w:rsidRDefault="003808D8" w:rsidP="00094D3E">
      <w:pPr>
        <w:pStyle w:val="a3"/>
        <w:spacing w:before="175"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規定的</w:t>
      </w:r>
      <w:r w:rsidRPr="003808D8">
        <w:rPr>
          <w:rFonts w:asciiTheme="minorEastAsia" w:eastAsia="PMingLiU" w:hAnsiTheme="minorEastAsia"/>
          <w:spacing w:val="-4"/>
          <w:sz w:val="24"/>
          <w:szCs w:val="24"/>
          <w:lang w:eastAsia="zh-TW"/>
        </w:rPr>
        <w:t>“</w:t>
      </w:r>
      <w:r w:rsidRPr="003808D8">
        <w:rPr>
          <w:rFonts w:asciiTheme="minorEastAsia" w:eastAsia="PMingLiU" w:hAnsiTheme="minorEastAsia" w:hint="eastAsia"/>
          <w:spacing w:val="-4"/>
          <w:sz w:val="24"/>
          <w:szCs w:val="24"/>
          <w:lang w:eastAsia="zh-TW"/>
        </w:rPr>
        <w:t>最近</w:t>
      </w:r>
      <w:r w:rsidRPr="003808D8">
        <w:rPr>
          <w:rFonts w:asciiTheme="minorEastAsia" w:eastAsia="PMingLiU" w:hAnsiTheme="minorEastAsia"/>
          <w:spacing w:val="-4"/>
          <w:sz w:val="24"/>
          <w:szCs w:val="24"/>
          <w:lang w:eastAsia="zh-TW"/>
        </w:rPr>
        <w:t xml:space="preserve"> 3 </w:t>
      </w:r>
      <w:r w:rsidRPr="003808D8">
        <w:rPr>
          <w:rFonts w:asciiTheme="minorEastAsia" w:eastAsia="PMingLiU" w:hAnsiTheme="minorEastAsia" w:hint="eastAsia"/>
          <w:spacing w:val="-4"/>
          <w:sz w:val="24"/>
          <w:szCs w:val="24"/>
          <w:lang w:eastAsia="zh-TW"/>
        </w:rPr>
        <w:t>年被中國證監會采取行政監管措施或者被協會采取紀律處分，情節嚴重</w:t>
      </w:r>
      <w:r w:rsidRPr="003808D8">
        <w:rPr>
          <w:rFonts w:asciiTheme="minorEastAsia" w:eastAsia="PMingLiU" w:hAnsiTheme="minorEastAsia"/>
          <w:spacing w:val="-4"/>
          <w:sz w:val="24"/>
          <w:szCs w:val="24"/>
          <w:lang w:eastAsia="zh-TW"/>
        </w:rPr>
        <w:t>”</w:t>
      </w:r>
      <w:r w:rsidRPr="003808D8">
        <w:rPr>
          <w:rFonts w:asciiTheme="minorEastAsia" w:eastAsia="PMingLiU" w:hAnsiTheme="minorEastAsia" w:hint="eastAsia"/>
          <w:spacing w:val="-4"/>
          <w:sz w:val="24"/>
          <w:szCs w:val="24"/>
          <w:lang w:eastAsia="zh-TW"/>
        </w:rPr>
        <w:t>，主要包括以下情形：</w:t>
      </w:r>
    </w:p>
    <w:p w14:paraId="5573F181" w14:textId="18D8EB45" w:rsidR="0042089A" w:rsidRPr="00094D3E" w:rsidRDefault="003808D8" w:rsidP="00094D3E">
      <w:pPr>
        <w:pStyle w:val="a3"/>
        <w:spacing w:before="39"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（一）被中國證監會及其派出機構認定爲不適當人選或者被協會采取加入黑名單的紀律處分，期限尚未届滿；</w:t>
      </w:r>
    </w:p>
    <w:p w14:paraId="5C04C465" w14:textId="5B362662"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（二）被中國證監會撤銷基金從業資格或者被協會取消基金從業資格；</w:t>
      </w:r>
    </w:p>
    <w:p w14:paraId="3DEF2B10" w14:textId="6A8CB8F6"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（三）其他社會危害性大，嚴重損害投資者合法權益和</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社會公共利益的情形。</w:t>
      </w:r>
    </w:p>
    <w:p w14:paraId="59188F74" w14:textId="2A4A8618"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第八條【加强核查】私募基金管理人及其控股股東、實</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際控制人、普通合夥人、主要出資人最近</w:t>
      </w:r>
      <w:r w:rsidRPr="003808D8">
        <w:rPr>
          <w:rFonts w:asciiTheme="minorEastAsia" w:eastAsia="PMingLiU" w:hAnsiTheme="minorEastAsia"/>
          <w:spacing w:val="-4"/>
          <w:sz w:val="24"/>
          <w:szCs w:val="24"/>
          <w:lang w:eastAsia="zh-TW"/>
        </w:rPr>
        <w:t xml:space="preserve"> 3 </w:t>
      </w:r>
      <w:r w:rsidRPr="003808D8">
        <w:rPr>
          <w:rFonts w:asciiTheme="minorEastAsia" w:eastAsia="PMingLiU" w:hAnsiTheme="minorEastAsia" w:hint="eastAsia"/>
          <w:spacing w:val="-4"/>
          <w:sz w:val="24"/>
          <w:szCs w:val="24"/>
          <w:lang w:eastAsia="zh-TW"/>
        </w:rPr>
        <w:t>年內存在下列情形的，協會加强核查，幷可以視情况徵詢相關部門意見：</w:t>
      </w:r>
    </w:p>
    <w:p w14:paraId="1E443BDF" w14:textId="14DD7B19" w:rsidR="0042089A" w:rsidRPr="00094D3E" w:rsidRDefault="003808D8" w:rsidP="00094D3E">
      <w:pPr>
        <w:pStyle w:val="a3"/>
        <w:spacing w:before="175"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（一）被中國證監會及其派出機構采取公開譴責、限制業務活動、責令處分有關人員等行政監管措施；</w:t>
      </w:r>
    </w:p>
    <w:p w14:paraId="3AB98E9D" w14:textId="6462F702"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（二）被協會采取公開譴責、限制相關業務活動、不得</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從事相關業務等紀律處分；</w:t>
      </w:r>
    </w:p>
    <w:p w14:paraId="7BA0E424" w14:textId="5800A08C"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（三）因《登記備案辦法》第二十五條第一款第六項、第八項所列情形被終止登記的私募基金管理人的主要出資</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人、高級管理人員；</w:t>
      </w:r>
    </w:p>
    <w:p w14:paraId="665D2160" w14:textId="331A901C"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（四）因《登記備案辦法》第七十七條所列情形被注銷</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登記的私募基金管理人的主要出資人、高級管理人員；</w:t>
      </w:r>
    </w:p>
    <w:p w14:paraId="1DD65A16" w14:textId="24D58964"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（五）在存在重大風險或者嚴重負面輿情的機構、被協會注銷登記的機構任職；</w:t>
      </w:r>
    </w:p>
    <w:p w14:paraId="434ABB49" w14:textId="5DFB3B37"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（六）其他需要加强核查的誠信問題。</w:t>
      </w:r>
    </w:p>
    <w:p w14:paraId="24FFA953" w14:textId="253D2745" w:rsidR="0042089A" w:rsidRPr="00094D3E" w:rsidRDefault="003808D8" w:rsidP="00094D3E">
      <w:pPr>
        <w:pStyle w:val="a3"/>
        <w:spacing w:before="173"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第九條【證券實控專業要求】私募證券基金管理人的實際控制人應當符合《登記備案辦法》第九條第一款第三項規定，具備下列工作經驗之一：</w:t>
      </w:r>
    </w:p>
    <w:p w14:paraId="7F0FABC4" w14:textId="535A83DE"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（一）在商業銀行、證券公司、基金管理公司、期貨公司、信托公司、保險公司及其資産管理子公司等金融機構從事資産管理業務，或者擔任前述金融機構的高級管理人員；</w:t>
      </w:r>
    </w:p>
    <w:p w14:paraId="27BD7DB7" w14:textId="5727768B"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（二）在政府部門、事業單位從事高級經濟管理相關工作；</w:t>
      </w:r>
    </w:p>
    <w:p w14:paraId="2B8C9B17" w14:textId="12C773F3" w:rsidR="0042089A" w:rsidRPr="00094D3E" w:rsidRDefault="003808D8" w:rsidP="00094D3E">
      <w:pPr>
        <w:pStyle w:val="a3"/>
        <w:spacing w:before="175"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（三）在政府及其授權機構出資設立幷控股的企業或者</w:t>
      </w:r>
    </w:p>
    <w:p w14:paraId="4C269161" w14:textId="77777777" w:rsidR="0042089A" w:rsidRPr="00094D3E" w:rsidRDefault="0042089A" w:rsidP="00094D3E">
      <w:pPr>
        <w:pStyle w:val="a3"/>
        <w:spacing w:before="7" w:afterLines="50" w:after="120" w:line="360" w:lineRule="auto"/>
        <w:ind w:left="0"/>
        <w:rPr>
          <w:rFonts w:asciiTheme="minorEastAsia" w:eastAsiaTheme="minorEastAsia" w:hAnsiTheme="minorEastAsia"/>
          <w:spacing w:val="-4"/>
          <w:sz w:val="24"/>
          <w:szCs w:val="24"/>
        </w:rPr>
      </w:pPr>
    </w:p>
    <w:p w14:paraId="7EA40FC6" w14:textId="116256B4" w:rsidR="0042089A" w:rsidRPr="00094D3E" w:rsidRDefault="003808D8" w:rsidP="00094D3E">
      <w:pPr>
        <w:pStyle w:val="a3"/>
        <w:spacing w:before="54"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上市公司，從事證券期貨投資管理相關工作或者擔任經營管理等職務；</w:t>
      </w:r>
    </w:p>
    <w:p w14:paraId="1F41AB00" w14:textId="463A93AA"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（四）在私募基金管理人從事證券期貨投資管理相關工作或者擔任高級管理人員；</w:t>
      </w:r>
    </w:p>
    <w:p w14:paraId="6BEB8630" w14:textId="75C9D528" w:rsidR="0042089A" w:rsidRPr="00094D3E" w:rsidRDefault="003808D8" w:rsidP="00094D3E">
      <w:pPr>
        <w:pStyle w:val="a3"/>
        <w:spacing w:before="175" w:afterLines="50" w:after="120" w:line="360" w:lineRule="auto"/>
        <w:ind w:left="0"/>
        <w:rPr>
          <w:rFonts w:asciiTheme="minorEastAsia" w:eastAsiaTheme="minorEastAsia" w:hAnsiTheme="minorEastAsia"/>
          <w:spacing w:val="-4"/>
          <w:sz w:val="24"/>
          <w:szCs w:val="24"/>
          <w:lang w:eastAsia="zh-TW"/>
        </w:rPr>
      </w:pPr>
      <w:r w:rsidRPr="003808D8">
        <w:rPr>
          <w:rFonts w:asciiTheme="minorEastAsia" w:eastAsia="PMingLiU" w:hAnsiTheme="minorEastAsia" w:hint="eastAsia"/>
          <w:spacing w:val="-4"/>
          <w:sz w:val="24"/>
          <w:szCs w:val="24"/>
          <w:lang w:eastAsia="zh-TW"/>
        </w:rPr>
        <w:t>（五）中國證監會和協會規定的其他相關工作經歷。前款規定的投資管理工作經歷不包括個人證券或者期貨等投資經歷。</w:t>
      </w:r>
    </w:p>
    <w:p w14:paraId="4587D886" w14:textId="0BC230BD" w:rsidR="0042089A" w:rsidRPr="00094D3E" w:rsidRDefault="003808D8" w:rsidP="00094D3E">
      <w:pPr>
        <w:pStyle w:val="a3"/>
        <w:spacing w:before="175"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第十條【股權實控專業要求】私募股權基金管理人實際控制人應當符合《登記備案辦法》第九條第一款第三項規定，</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具備下列工作經驗之一：</w:t>
      </w:r>
    </w:p>
    <w:p w14:paraId="078A548A" w14:textId="78C7CE41"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（一）在商業銀行、證券公司、基金管理公司、期貨公司、信托公司、保險公司及其資産管理子公司等金融機構從事資産管理業務，或者擔任前述金融機構的高級管理人員；</w:t>
      </w:r>
    </w:p>
    <w:p w14:paraId="400CF389" w14:textId="5BC432A3"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（二）在政府部門、事業單位從事高級經濟管理相關工作；</w:t>
      </w:r>
    </w:p>
    <w:p w14:paraId="0F4DD097" w14:textId="338C1E19" w:rsidR="0042089A" w:rsidRPr="00094D3E" w:rsidRDefault="003808D8" w:rsidP="00094D3E">
      <w:pPr>
        <w:pStyle w:val="a3"/>
        <w:spacing w:before="175"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（三）在政府及其授權機構出資設立幷控股的企業或者</w:t>
      </w:r>
    </w:p>
    <w:p w14:paraId="3747F62A" w14:textId="3978B538" w:rsidR="0042089A" w:rsidRPr="00094D3E" w:rsidRDefault="003808D8" w:rsidP="00094D3E">
      <w:pPr>
        <w:pStyle w:val="a3"/>
        <w:spacing w:before="55"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上市公司從事股權投資管理相關工作或者擔任經營管理等</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職務；</w:t>
      </w:r>
    </w:p>
    <w:p w14:paraId="5EBB83C5" w14:textId="5E4483D4"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（四）在私募基金管理人從事股權投資管理相關工作或者擔任高級管理人員；</w:t>
      </w:r>
    </w:p>
    <w:p w14:paraId="5ABB0697" w14:textId="6F1C86F2"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（五）在擬投領域相關企業從事高級管理工作或者專業技術工作，或者在科研院校從事相關領域研究工作；</w:t>
      </w:r>
    </w:p>
    <w:p w14:paraId="53F8A985" w14:textId="0E09CC9F"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（六）中國證監會和協會規定的其他相關工作經歷。</w:t>
      </w:r>
    </w:p>
    <w:p w14:paraId="058C24EB" w14:textId="5473FDFC" w:rsidR="0042089A" w:rsidRPr="00094D3E" w:rsidRDefault="003808D8" w:rsidP="00094D3E">
      <w:pPr>
        <w:pStyle w:val="a3"/>
        <w:spacing w:before="174"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第十一條【實控認定】私募基金管理人爲公司的，按照如下路徑認定實際控制人：</w:t>
      </w:r>
    </w:p>
    <w:p w14:paraId="6C70F76D" w14:textId="72EAFC15"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（一）持股</w:t>
      </w:r>
      <w:r w:rsidRPr="003808D8">
        <w:rPr>
          <w:rFonts w:asciiTheme="minorEastAsia" w:eastAsia="PMingLiU" w:hAnsiTheme="minorEastAsia"/>
          <w:spacing w:val="-4"/>
          <w:sz w:val="24"/>
          <w:szCs w:val="24"/>
          <w:lang w:eastAsia="zh-TW"/>
        </w:rPr>
        <w:t>50%</w:t>
      </w:r>
      <w:r w:rsidRPr="003808D8">
        <w:rPr>
          <w:rFonts w:asciiTheme="minorEastAsia" w:eastAsia="PMingLiU" w:hAnsiTheme="minorEastAsia" w:hint="eastAsia"/>
          <w:spacing w:val="-4"/>
          <w:sz w:val="24"/>
          <w:szCs w:val="24"/>
          <w:lang w:eastAsia="zh-TW"/>
        </w:rPr>
        <w:t>以上的；</w:t>
      </w:r>
    </w:p>
    <w:p w14:paraId="44D1094F" w14:textId="0BE6BA3D" w:rsidR="0042089A" w:rsidRPr="00094D3E" w:rsidRDefault="003808D8" w:rsidP="00094D3E">
      <w:pPr>
        <w:pStyle w:val="a3"/>
        <w:spacing w:before="151"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（二）通過一致行動協議實際行使股東表决權過半數的；</w:t>
      </w:r>
    </w:p>
    <w:p w14:paraId="1CD0CD38" w14:textId="2638FB39" w:rsidR="0042089A" w:rsidRPr="00094D3E" w:rsidRDefault="003808D8" w:rsidP="00094D3E">
      <w:pPr>
        <w:pStyle w:val="a3"/>
        <w:spacing w:before="175"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（三）通過行使表决權能够决定董事會半數以上成員當選的或者能够决定執行董事當選的。</w:t>
      </w:r>
    </w:p>
    <w:p w14:paraId="115DB05E" w14:textId="7697A15E" w:rsidR="0042089A" w:rsidRPr="00094D3E" w:rsidRDefault="003808D8" w:rsidP="00094D3E">
      <w:pPr>
        <w:pStyle w:val="a3"/>
        <w:spacing w:before="175"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通過一致行動協議安排認定實際控制人的，協議不得存在期限安排。</w:t>
      </w:r>
    </w:p>
    <w:p w14:paraId="5243C384" w14:textId="0AB1BFEA"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不得通過任何方式隱瞞實際控制人身份，規避相關要求。</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不得濫用一致行動協議、股</w:t>
      </w:r>
      <w:r w:rsidRPr="003808D8">
        <w:rPr>
          <w:rFonts w:asciiTheme="minorEastAsia" w:eastAsia="PMingLiU" w:hAnsiTheme="minorEastAsia" w:hint="eastAsia"/>
          <w:spacing w:val="-4"/>
          <w:sz w:val="24"/>
          <w:szCs w:val="24"/>
          <w:lang w:eastAsia="zh-TW"/>
        </w:rPr>
        <w:lastRenderedPageBreak/>
        <w:t>權架構設計等方式規避實際控制</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人認定，不得通過表决權委托等方式認定實際控制人。</w:t>
      </w:r>
    </w:p>
    <w:p w14:paraId="0CB06FBB" w14:textId="07D534BA"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十二條【合夥企業實控認定】私募基金管理人爲合夥企業的，原則上認定其執行事務合夥人爲實際控制人；執行事務合夥人無法控制私募基金管理人的，結合合夥協議約定的對合夥事務的表决辦法、决策機制，按照能够實際支配私</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募基金管理人行爲的合夥人路徑進行認定。</w:t>
      </w:r>
    </w:p>
    <w:p w14:paraId="67BB0510" w14:textId="2774F93B"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第十三條【實控追溯要求】實際控制人應當追溯至自然</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人、國有企業、上市公司、大學及研究院所等事業單位、社</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會團體法人等。</w:t>
      </w:r>
    </w:p>
    <w:p w14:paraId="0CBE367E" w14:textId="380E99CC"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第十四條【國資實控追溯】政府及其授權機構出資設立幷控股的私募基金管理人的實際控制人應當追溯至有效履</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行相關職責的相關主體，包括追溯至財政部、各地財政廳（局）</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或者國務院國資委、各地方政府、各地國資委控股企業等主</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體。</w:t>
      </w:r>
    </w:p>
    <w:p w14:paraId="783D4707" w14:textId="2CE99DB9"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因層級過多或者股權結構複雜，導致前款主體無法履行實際控制人職責的，應當充分說明合理性和必要性，追溯至能够實際有效履行實際控制人責任的主體；因行政管理需要導致實際控制人認定的股權層級與行政管理層級不一致的，</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應當提供相關說明。</w:t>
      </w:r>
    </w:p>
    <w:p w14:paraId="23E1B120" w14:textId="12E7EFE5"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第十五條【外資實控追溯】私募證券基金管理人的實際控制人爲境外機構的，應當追溯至與中國證監會簽署合作備忘錄的境外金融監督管理部門監管的金融機構。</w:t>
      </w:r>
    </w:p>
    <w:p w14:paraId="2454D325" w14:textId="43705E82"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私募股權基金管理人的實際控制人爲境外機構或者自然人的，應當追溯至與中國證監會簽署合作備忘錄的境外金</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融監督管理部門監管的金融機構、境外上市公司或者自然人。</w:t>
      </w:r>
    </w:p>
    <w:p w14:paraId="653506F5" w14:textId="0059D613"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第十六條【共同實際控制人】通過公司章程或者合夥協議、一致行動協議等其他協議或者安排共同控制的，共同控</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制人簽署方應當按照本指引第十一條和第十二條的規定，同時穿透認定私募基金管理人的共同實際控制人。</w:t>
      </w:r>
    </w:p>
    <w:p w14:paraId="3E58E103" w14:textId="5B479E7B"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無合理理由不得通過直接認定單一實際控制人的方式</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規避實際控制人的相關要求。</w:t>
      </w:r>
    </w:p>
    <w:p w14:paraId="72BCFB2A" w14:textId="551E15F1"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第十七條【無實際控制人】私募基金管理人根據本指引相關規定和內部决策實際情况，客觀、審慎、真實地認定實</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際控制人，無合理理由不得認定爲無實際控制人。</w:t>
      </w:r>
    </w:p>
    <w:p w14:paraId="56FC7A9C" w14:textId="6FA9A6AB"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私募基金管理人股權分散無法按照本指引第十一條認</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定實際控制人，應當由第一大股東按照本指引第十一條、第十二條穿透認定幷承擔實際控制人責任，或者由所有股東共同指定一名或者多名股東，按照本指引規定穿透認定幷承擔實際控制人責任，且滿</w:t>
      </w:r>
      <w:r w:rsidRPr="003808D8">
        <w:rPr>
          <w:rFonts w:asciiTheme="minorEastAsia" w:eastAsia="PMingLiU" w:hAnsiTheme="minorEastAsia" w:hint="eastAsia"/>
          <w:spacing w:val="-4"/>
          <w:sz w:val="24"/>
          <w:szCs w:val="24"/>
          <w:lang w:eastAsia="zh-TW"/>
        </w:rPr>
        <w:lastRenderedPageBreak/>
        <w:t>足實際控制人相關要求。</w:t>
      </w:r>
    </w:p>
    <w:p w14:paraId="2EF8925B" w14:textId="788344D4"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私募基金管理人存在前款規定情形的，應當建立健全內部决策機制和內部治理制度，保證控制權結構不影響私募基金管理人的良好運行。</w:t>
      </w:r>
    </w:p>
    <w:p w14:paraId="6407C1F9" w14:textId="00F2145B"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第十八條【變相轉移實控權】私募基金管理人的股東、合夥人、實際控制人不得通過股權或者出資份額質押、委托第三方行使表决權等方式變相轉移對私募基金管理人的實際控制權。</w:t>
      </w:r>
    </w:p>
    <w:p w14:paraId="18A9596E" w14:textId="26918E52" w:rsidR="0042089A" w:rsidRPr="00094D3E" w:rsidRDefault="003808D8" w:rsidP="00094D3E">
      <w:pPr>
        <w:pStyle w:val="a3"/>
        <w:spacing w:before="175"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第十九條【關聯方披露】私募基金管理人應當按照以下情形，如實向協會披露關聯方工商登記信息、業務開展情况等基本信息：</w:t>
      </w:r>
    </w:p>
    <w:p w14:paraId="33D8A0FC" w14:textId="5E048DC1"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（一）私募基金管理人的分支機構；</w:t>
      </w:r>
    </w:p>
    <w:p w14:paraId="18A4BD17" w14:textId="58C7AE41" w:rsidR="0042089A" w:rsidRPr="00094D3E" w:rsidRDefault="003808D8" w:rsidP="00094D3E">
      <w:pPr>
        <w:pStyle w:val="a3"/>
        <w:spacing w:before="175"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（二）私募基金管理人持股</w:t>
      </w:r>
      <w:r w:rsidRPr="003808D8">
        <w:rPr>
          <w:rFonts w:asciiTheme="minorEastAsia" w:eastAsia="PMingLiU" w:hAnsiTheme="minorEastAsia"/>
          <w:spacing w:val="-4"/>
          <w:sz w:val="24"/>
          <w:szCs w:val="24"/>
          <w:lang w:eastAsia="zh-TW"/>
        </w:rPr>
        <w:t xml:space="preserve"> 5%</w:t>
      </w:r>
      <w:r w:rsidRPr="003808D8">
        <w:rPr>
          <w:rFonts w:asciiTheme="minorEastAsia" w:eastAsia="PMingLiU" w:hAnsiTheme="minorEastAsia" w:hint="eastAsia"/>
          <w:spacing w:val="-4"/>
          <w:sz w:val="24"/>
          <w:szCs w:val="24"/>
          <w:lang w:eastAsia="zh-TW"/>
        </w:rPr>
        <w:t>以上的金融機構、上市公司及持股</w:t>
      </w:r>
      <w:r w:rsidRPr="003808D8">
        <w:rPr>
          <w:rFonts w:asciiTheme="minorEastAsia" w:eastAsia="PMingLiU" w:hAnsiTheme="minorEastAsia"/>
          <w:spacing w:val="-4"/>
          <w:sz w:val="24"/>
          <w:szCs w:val="24"/>
          <w:lang w:eastAsia="zh-TW"/>
        </w:rPr>
        <w:t xml:space="preserve"> 30%</w:t>
      </w:r>
      <w:r w:rsidRPr="003808D8">
        <w:rPr>
          <w:rFonts w:asciiTheme="minorEastAsia" w:eastAsia="PMingLiU" w:hAnsiTheme="minorEastAsia" w:hint="eastAsia"/>
          <w:spacing w:val="-4"/>
          <w:sz w:val="24"/>
          <w:szCs w:val="24"/>
          <w:lang w:eastAsia="zh-TW"/>
        </w:rPr>
        <w:t>或者擔任普通合夥人的其他企業，已在協會備案的合夥型私募基金除外；</w:t>
      </w:r>
    </w:p>
    <w:p w14:paraId="02F6D128" w14:textId="75A380BA" w:rsidR="0042089A" w:rsidRPr="00094D3E" w:rsidRDefault="003808D8" w:rsidP="00094D3E">
      <w:pPr>
        <w:pStyle w:val="a3"/>
        <w:spacing w:before="47"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（三）受同一控股股東、實際控制人、普通合夥人直接</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控制的金融機構、私募基金管理人、上市公司、全國中小企</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業股份轉讓系統挂牌公司、投資類企業、衝突業務機構、投資諮詢企業及金融服務企業等；</w:t>
      </w:r>
    </w:p>
    <w:p w14:paraId="51C2AF0A" w14:textId="1E2DB2F8"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（四）其他與私募基金管理人有特殊關係，可能影響私募基金管理人利益的法人或者其他組織。</w:t>
      </w:r>
    </w:p>
    <w:p w14:paraId="34C205BA" w14:textId="3B0C92C3"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因人員、股權、協議安排、業務合作等實際可能存在關聯關係的相關方，應當按照實質重于形式原則進行披露。</w:t>
      </w:r>
    </w:p>
    <w:p w14:paraId="12627B0D" w14:textId="5F130495"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第二十條【衝突業務關聯方】私募基金管理人從事小額貸款、融資租賃、商業保理、融資擔保、互聯網金融、典當</w:t>
      </w:r>
      <w:r w:rsidRPr="003808D8">
        <w:rPr>
          <w:rFonts w:asciiTheme="minorEastAsia" w:eastAsia="PMingLiU" w:hAnsiTheme="minorEastAsia"/>
          <w:spacing w:val="-4"/>
          <w:sz w:val="24"/>
          <w:szCs w:val="24"/>
          <w:lang w:eastAsia="zh-TW"/>
        </w:rPr>
        <w:t xml:space="preserve"> </w:t>
      </w:r>
      <w:r w:rsidRPr="003808D8">
        <w:rPr>
          <w:rFonts w:asciiTheme="minorEastAsia" w:eastAsia="PMingLiU" w:hAnsiTheme="minorEastAsia" w:hint="eastAsia"/>
          <w:spacing w:val="-4"/>
          <w:sz w:val="24"/>
          <w:szCs w:val="24"/>
          <w:lang w:eastAsia="zh-TW"/>
        </w:rPr>
        <w:t>等衝突業務的關聯方，應當提供相關主管部門批復文件。</w:t>
      </w:r>
    </w:p>
    <w:p w14:paraId="67176A53" w14:textId="48F734FD" w:rsidR="0042089A" w:rsidRPr="00094D3E" w:rsidRDefault="003808D8" w:rsidP="00094D3E">
      <w:pPr>
        <w:pStyle w:val="a3"/>
        <w:spacing w:afterLines="50" w:after="120" w:line="360" w:lineRule="auto"/>
        <w:ind w:left="0"/>
        <w:rPr>
          <w:rFonts w:asciiTheme="minorEastAsia" w:eastAsiaTheme="minorEastAsia" w:hAnsiTheme="minorEastAsia"/>
          <w:spacing w:val="-4"/>
          <w:sz w:val="24"/>
          <w:szCs w:val="24"/>
        </w:rPr>
      </w:pPr>
      <w:r w:rsidRPr="003808D8">
        <w:rPr>
          <w:rFonts w:asciiTheme="minorEastAsia" w:eastAsia="PMingLiU" w:hAnsiTheme="minorEastAsia" w:hint="eastAsia"/>
          <w:spacing w:val="-4"/>
          <w:sz w:val="24"/>
          <w:szCs w:val="24"/>
          <w:lang w:eastAsia="zh-TW"/>
        </w:rPr>
        <w:t>第二十一條【實施日期】本指引自</w:t>
      </w:r>
      <w:r w:rsidRPr="003808D8">
        <w:rPr>
          <w:rFonts w:asciiTheme="minorEastAsia" w:eastAsia="PMingLiU" w:hAnsiTheme="minorEastAsia"/>
          <w:spacing w:val="-4"/>
          <w:sz w:val="24"/>
          <w:szCs w:val="24"/>
          <w:lang w:eastAsia="zh-TW"/>
        </w:rPr>
        <w:t xml:space="preserve"> 2023 </w:t>
      </w:r>
      <w:r w:rsidRPr="003808D8">
        <w:rPr>
          <w:rFonts w:asciiTheme="minorEastAsia" w:eastAsia="PMingLiU" w:hAnsiTheme="minorEastAsia" w:hint="eastAsia"/>
          <w:spacing w:val="-4"/>
          <w:sz w:val="24"/>
          <w:szCs w:val="24"/>
          <w:lang w:eastAsia="zh-TW"/>
        </w:rPr>
        <w:t>年</w:t>
      </w:r>
      <w:r w:rsidRPr="003808D8">
        <w:rPr>
          <w:rFonts w:asciiTheme="minorEastAsia" w:eastAsia="PMingLiU" w:hAnsiTheme="minorEastAsia"/>
          <w:spacing w:val="-4"/>
          <w:sz w:val="24"/>
          <w:szCs w:val="24"/>
          <w:lang w:eastAsia="zh-TW"/>
        </w:rPr>
        <w:t xml:space="preserve"> X </w:t>
      </w:r>
      <w:r w:rsidRPr="003808D8">
        <w:rPr>
          <w:rFonts w:asciiTheme="minorEastAsia" w:eastAsia="PMingLiU" w:hAnsiTheme="minorEastAsia" w:hint="eastAsia"/>
          <w:spacing w:val="-4"/>
          <w:sz w:val="24"/>
          <w:szCs w:val="24"/>
          <w:lang w:eastAsia="zh-TW"/>
        </w:rPr>
        <w:t>月</w:t>
      </w:r>
      <w:r w:rsidRPr="003808D8">
        <w:rPr>
          <w:rFonts w:asciiTheme="minorEastAsia" w:eastAsia="PMingLiU" w:hAnsiTheme="minorEastAsia"/>
          <w:spacing w:val="-4"/>
          <w:sz w:val="24"/>
          <w:szCs w:val="24"/>
          <w:lang w:eastAsia="zh-TW"/>
        </w:rPr>
        <w:t xml:space="preserve"> X </w:t>
      </w:r>
      <w:r w:rsidRPr="003808D8">
        <w:rPr>
          <w:rFonts w:asciiTheme="minorEastAsia" w:eastAsia="PMingLiU" w:hAnsiTheme="minorEastAsia" w:hint="eastAsia"/>
          <w:spacing w:val="-4"/>
          <w:sz w:val="24"/>
          <w:szCs w:val="24"/>
          <w:lang w:eastAsia="zh-TW"/>
        </w:rPr>
        <w:t>日起施行。</w:t>
      </w:r>
    </w:p>
    <w:sectPr w:rsidR="0042089A" w:rsidRPr="00094D3E">
      <w:footerReference w:type="default" r:id="rId6"/>
      <w:pgSz w:w="11910" w:h="16840"/>
      <w:pgMar w:top="1520" w:right="1380" w:bottom="1440" w:left="1680" w:header="0" w:footer="1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180F" w14:textId="77777777" w:rsidR="0065261C" w:rsidRDefault="0065261C">
      <w:r>
        <w:separator/>
      </w:r>
    </w:p>
  </w:endnote>
  <w:endnote w:type="continuationSeparator" w:id="0">
    <w:p w14:paraId="6AF7FBF2" w14:textId="77777777" w:rsidR="0065261C" w:rsidRDefault="0065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FFEF" w14:textId="77777777" w:rsidR="0042089A" w:rsidRDefault="00000000">
    <w:pPr>
      <w:pStyle w:val="a3"/>
      <w:spacing w:line="14" w:lineRule="auto"/>
      <w:ind w:left="0"/>
      <w:rPr>
        <w:sz w:val="20"/>
      </w:rPr>
    </w:pPr>
    <w:r>
      <w:pict w14:anchorId="1DDE88F9">
        <v:shapetype id="_x0000_t202" coordsize="21600,21600" o:spt="202" path="m,l,21600r21600,l21600,xe">
          <v:stroke joinstyle="miter"/>
          <v:path gradientshapeok="t" o:connecttype="rect"/>
        </v:shapetype>
        <v:shape id="_x0000_s1025" type="#_x0000_t202" style="position:absolute;margin-left:292.45pt;margin-top:768.2pt;width:10.5pt;height:11pt;z-index:-251658752;mso-position-horizontal-relative:page;mso-position-vertical-relative:page" filled="f" stroked="f">
          <v:textbox inset="0,0,0,0">
            <w:txbxContent>
              <w:p w14:paraId="7D397811" w14:textId="1F136AE3" w:rsidR="0042089A" w:rsidRDefault="00000000">
                <w:pPr>
                  <w:spacing w:line="200" w:lineRule="exact"/>
                  <w:ind w:left="60"/>
                  <w:rPr>
                    <w:sz w:val="18"/>
                  </w:rPr>
                </w:pPr>
                <w:r>
                  <w:fldChar w:fldCharType="begin"/>
                </w:r>
                <w:r>
                  <w:rPr>
                    <w:sz w:val="18"/>
                  </w:rPr>
                  <w:instrText xml:space="preserve"> PAGE </w:instrText>
                </w:r>
                <w:r>
                  <w:fldChar w:fldCharType="separate"/>
                </w:r>
                <w:r w:rsidR="003808D8" w:rsidRPr="003808D8">
                  <w:rPr>
                    <w:rFonts w:eastAsia="PMingLiU"/>
                    <w:lang w:eastAsia="zh-TW"/>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A1D8" w14:textId="77777777" w:rsidR="0065261C" w:rsidRDefault="0065261C">
      <w:r>
        <w:separator/>
      </w:r>
    </w:p>
  </w:footnote>
  <w:footnote w:type="continuationSeparator" w:id="0">
    <w:p w14:paraId="3B7A2D40" w14:textId="77777777" w:rsidR="0065261C" w:rsidRDefault="00652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2089A"/>
    <w:rsid w:val="00094D3E"/>
    <w:rsid w:val="003808D8"/>
    <w:rsid w:val="003F6995"/>
    <w:rsid w:val="0042089A"/>
    <w:rsid w:val="006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DF9A"/>
  <w15:docId w15:val="{303BEDFB-B677-4579-AA9B-55CC8CA0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 w:eastAsia="仿宋" w:hAnsi="仿宋" w:cs="仿宋"/>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32"/>
      <w:szCs w:val="32"/>
    </w:rPr>
  </w:style>
  <w:style w:type="paragraph" w:styleId="a4">
    <w:name w:val="Title"/>
    <w:basedOn w:val="a"/>
    <w:uiPriority w:val="10"/>
    <w:qFormat/>
    <w:pPr>
      <w:spacing w:line="548" w:lineRule="exact"/>
      <w:ind w:left="1732" w:right="2029"/>
      <w:jc w:val="center"/>
    </w:pPr>
    <w:rPr>
      <w:rFonts w:ascii="微软雅黑" w:eastAsia="微软雅黑" w:hAnsi="微软雅黑" w:cs="微软雅黑"/>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21790074@qq.com</cp:lastModifiedBy>
  <cp:revision>5</cp:revision>
  <dcterms:created xsi:type="dcterms:W3CDTF">2022-12-31T02:54:00Z</dcterms:created>
  <dcterms:modified xsi:type="dcterms:W3CDTF">2022-12-31T04:00:00Z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WPS 文字</vt:lpwstr>
  </property>
  <property fmtid="{D5CDD505-2E9C-101B-9397-08002B2CF9AE}" pid="4" name="LastSaved">
    <vt:filetime>2022-12-31T00:00:00Z</vt:filetime>
  </property>
</Properties>
</file>