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Document Number：</w:t>
      </w:r>
      <w:r>
        <w:rPr>
          <w:bdr w:val="none" w:color="auto" w:sz="0" w:space="0"/>
          <w:vertAlign w:val="baseline"/>
        </w:rPr>
        <w:t>Normative Document No 3 [2022] of the Office of the Administrative Committee of Nansha Development Zone of Guangzhou Municipality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Area of Law：</w:t>
      </w:r>
      <w:r>
        <w:rPr>
          <w:bdr w:val="none" w:color="auto" w:sz="0" w:space="0"/>
          <w:vertAlign w:val="baseline"/>
        </w:rPr>
        <w:t>Economic and Technological Development Zones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Level of Authority：</w:t>
      </w:r>
      <w:r>
        <w:rPr>
          <w:bdr w:val="none" w:color="auto" w:sz="0" w:space="0"/>
          <w:vertAlign w:val="baseline"/>
        </w:rPr>
        <w:t>Local Regulatory Documents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Date Issued：</w:t>
      </w:r>
      <w:r>
        <w:rPr>
          <w:bdr w:val="none" w:color="auto" w:sz="0" w:space="0"/>
          <w:vertAlign w:val="baseline"/>
        </w:rPr>
        <w:t>06-05-2022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Effective Date：</w:t>
      </w:r>
      <w:r>
        <w:rPr>
          <w:bdr w:val="none" w:color="auto" w:sz="0" w:space="0"/>
          <w:vertAlign w:val="baseline"/>
        </w:rPr>
        <w:t>06-05-2022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Issuing Authority：</w:t>
      </w:r>
      <w:r>
        <w:rPr>
          <w:bdr w:val="none" w:color="auto" w:sz="0" w:space="0"/>
          <w:vertAlign w:val="baseline"/>
        </w:rPr>
        <w:t>Office of Guangzhou Nansha Economic and Technological Development Zone Management Committee People’s Government of Nansha District of Guangzhou Municipality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Status：</w:t>
      </w:r>
      <w:r>
        <w:rPr>
          <w:bdr w:val="none" w:color="auto" w:sz="0" w:space="0"/>
          <w:vertAlign w:val="baseline"/>
        </w:rPr>
        <w:t>Effective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5"/>
          <w:b/>
          <w:bCs/>
          <w:bdr w:val="none" w:color="auto" w:sz="0" w:space="0"/>
          <w:vertAlign w:val="baseline"/>
        </w:rPr>
        <w:t>Notice on Printing and Distributing Several Measures of Guangzhou Nansha on Promoting Deep Integration of Innovation Chain, Industry Chain, Capital Chain and Talent Chain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All towns (streets), development zones (districts), all departments, and all directly affiliated institutions: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"Several Measures of Guangzhou Nansha on Promoting the Deep Integration of the Innovation Chain, Industry Chain, Capital Chain, and Talent Chain" has been approved by the management committee and the district government, and is now issued to you. Please organize and implement it carefully.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baseline"/>
      </w:pPr>
      <w:r>
        <w:rPr>
          <w:bdr w:val="none" w:color="auto" w:sz="0" w:space="0"/>
          <w:vertAlign w:val="baseline"/>
        </w:rPr>
        <w:t>Guangzhou Nansha Development Zone Management Committee Office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baseline"/>
      </w:pPr>
      <w:r>
        <w:rPr>
          <w:bdr w:val="none" w:color="auto" w:sz="0" w:space="0"/>
          <w:vertAlign w:val="baseline"/>
        </w:rPr>
        <w:t>Office of the People's Government of Nansha District, Guangzhou</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baseline"/>
      </w:pPr>
      <w:r>
        <w:rPr>
          <w:bdr w:val="none" w:color="auto" w:sz="0" w:space="0"/>
          <w:vertAlign w:val="baseline"/>
        </w:rPr>
        <w:t>June 5, 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bookmarkStart w:id="0" w:name="_GoBack"/>
      <w:r>
        <w:rPr>
          <w:rStyle w:val="5"/>
          <w:b/>
          <w:bCs/>
          <w:bdr w:val="none" w:color="auto" w:sz="0" w:space="0"/>
          <w:vertAlign w:val="baseline"/>
        </w:rPr>
        <w:t>Several Measures of Guangzhou Nansha on Promoting Deep Integration of Innovation Chain, Industry Chain, Capital Chain and Talent Chain</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In order to thoroughly implement the spirit of General Secretary Xi Jinping's important speech and important instructions, in accordance with the decision-making and deployment of the Party Central Committee and the work requirements of provinces and cities, based on the new development stage, implement the new development concept, build a new development pattern, and focus on building a "Based on the Bay Area, coordinated with Hong Kong and Macao" , a major strategic platform facing the world" target positioning, give full play to the role of free trade zones in leading institutional opening-up, rely on major platforms such as the Guangdong-Hong Kong-Macao Comprehensive Cooperation Demonstration Zone, the Import Trade Promotion Innovation Demonstration Zone, the Comprehensive Bonded Zone, and the Special Zone for International Talents to persist in innovation Driving, industry-oriented, laying out the industrial chain around the innovation chain, deploying the innovation chain around the industry chain, integrating the capital chain and the talent chain, promoting the deep integration and mutual promotion of the innovation chain, industry chain, capital chain, and talent chain, and building a development that is compatible with Nansha's development positioning The industrial policy system promotes the construction of the Greater Bay Area's international shipping, financial and technological innovation function bearing area, and creates a new engine for high-quality development. This measure is specially formulated.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Chapter 1 Support Objects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1 These measures are applicable to enterprises, public institutions, social organizations, industry associations (or consortiums) that are legally registered within the administrative jurisdiction of this district, incorporated into the statistics of this district according to law, and whose competent taxation authority belongs to this district. , financial institutions registered and operating in the district, and other support objects (including individuals) decided by the Nansha Development Zone Management Committee and the district government. If there are special provisions in the District Industry Support Measures, follow those provisions.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Chapter 2 Focus on building the whole process innovation ecological chain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2 R&amp;D rewards. A subsidy of up to 100 million yuan will be given to new R&amp;D institutions during the construction period. Encourage enterprises and institutions to increase R&amp;D investment, and give post-rewards for R&amp;D expenditures of up to 10 million yuan for R&amp;D investment.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3 Application Promotion Rewards. Provide rewards and support for enterprises in strategic emerging industries and other enterprises to carry out scenario applications, obtain qualifications, provide services, and purchase services. For key industrial application demonstration projects, a single item of up to 5 million yuan will be rewarded according to the actual investment cost of the project.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4 Rewards for the transfer and transformation of scientific and technological achievements. Support universities, scientific research institutes, private non-enterprises, technology transfer service agencies, intellectual property institutions and platforms in the region to promote the transfer and transformation of scientific research achievements, support the creation and application of intellectual property rights, and give individual enterprises according to actual investment, awards and honors, and service provision Or the highest reward of 10 million yuan for institutions.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5 Incubation carrier rewards. For business incubators and maker spaces, the maximum reward is 3 million yuan.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The third chapter focuses on building an industrial chain with high-quality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6 Award for leading enterprises. Provide comprehensive policy support to leading companies such as the world's top 500 companies, unicorns, and companies listed on the main board.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7 Settlement award. For newly registered or newly moved companies, according to industry classification, production and operation, economic contribution, etc., a settlement reward of up to 30 million yuan will be given.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8 Business Contribution Award. Support the continuous operation and development of enterprises, and give enterprises up to 100% district-level economic contribution rewards according to the type of enterprises and the growth of economic contribution.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9 Incentives for investment in fixed assets. Enterprises who newly build, expand, or rebuild projects in the zone, purchase production equipment and instruments, or expand or rebuild industrial parks will be rewarded with a maximum of 50 million yuan based on the amount of investment in fixed assets.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10  Energy Level Up Award. A reward of 20 million yuan will be given to enterprises that enter the world's top 500 for the first time. A reward of 10 million yuan will be given to companies that enter the world's top 1,000 companies and China's top 500 companies for the first time.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11 Subsidies for office buildings, industrial plants and storage buildings. Encourage enterprises, institutions, and talents to develop clusters in Nansha, and support enterprises to work in the area. Enterprises stationed in key agglomeration areas will be given rent-free support for up to 3 years; those who purchase office properties and use them for their own on-site offices will be given a purchase subsidy of up to 10 million yuan; Annual subsidies of no more than 3 million yuan per year are given at a maximum of 100% of the market assessment price of rent and property fees.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12 Support for high-growth enterprises. A one-time reward of up to 500,000 yuan will be given to high-tech enterprises. A one-time reward of up to 5 million yuan will be given to manufacturing champion enterprises and specialized and special new enterprises recognized by the state. A reward of up to 500,000 yuan will be given to small, medium and micro enterprises for their business development.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13 Support promotion exchanges and project introductions. For enterprises or institutions holding forums, competitions, conferences, activities, etc., a maximum of 20 million yuan will be rewarded. A maximum reward of 5 million yuan can be given to a single recommending institution every year.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14 Supporting rewards from superior funds. For enterprises and talent teams that have received various rewards and support funds from their superiors, a matching reward of up to 5 million yuan will be given according to the country, province and city.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15 Industry Linkage Award. For enterprises and institutions in the zone to purchase products and services of enterprises and institutions in the manufacturing industry, strategic emerging industries, and service industries in the zone, rewards of up to 3 million yuan will be given to the purchaser according to the contract amount.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Chapter 4 Focus on building a capital chain for integration and innovation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16 Equity investment support. Establish a Nansha Industry Guidance Fund with a total scale of 5 billion yuan to provide support for equity investment in enterprises. For equity investment companies and investment holding companies investing in listed and non-listed companies in the zone, a reward of up to 10 million yuan will be given according to the investment scale. For qualified foreign limited partner (QFLP) enterprises utilizing foreign capital, an additional reward of up to 5 million yuan will be given according to the investment scale. Support industrial funds to invest in entrepreneurial projects of enterprises and outstanding talents in the zone. For venture capital funds registered and operated in the zone, a single fund will be rewarded with a maximum of 3 million yuan per year according to its investment in projects in the zone.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17 Loans and loan discount support. The district government has set up a credit risk compensation fund pool for small, medium and micro enterprises with a scale of up to 100 million yuan, and banks that cooperate with the district provide credit loans of up to 30 million yuan for small, medium and micro enterprises. For enterprises that have obtained loans from commercial banks in the district, each enterprise will be given a cumulative support of up to 3 million yuan based on the actual loan interest. According to the nature of the loan and the balance of the loan, a maximum of 2 million yuan will be given to the banking institutions in the region.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18 Enterprise Listing Award. A reward of up to 10 million yuan will be given to a back-up listed company for listing; the same company can receive a reward of up to 13 million yuan if it is listed on the selected layer of the New Third Board. Enterprises that use the capital market to refinance, issue bonds or securitize products will be rewarded with a maximum of 6 million yuan.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19 M&amp;A support. For mergers and acquisitions of listed companies and high-tech companies that are introduced into the district, a maximum reward of 3 million yuan can be given to the company.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20 Cross-border trade and investment support. Institutions and enterprises in the zone that carry out domestic and foreign currency capital pool business and cross-border financial asset transaction business will be rewarded up to 500,000 yuan according to the transaction scale.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Chapter 5 Focus on creating a talent chain that integrates production and talent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21 High-level talent rewards and team support. A talent reward of up to 10 million yuan will be given to high-level talents working full-time in Nansha. For high-level talents introduced flexibly, a talent reward of up to 1 million yuan per year can be given in accordance with labor service remuneration. A reward of up to 100 million yuan will be given to high-level talent team projects that meet the development direction of key industries in the district.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22 Rewards for economic contributions of talents. Backbone talents and senior executives will be rewarded up to 100% of their personal economic contribution. For equity investment companies, backup listed companies, headquarters companies, strategic emerging industry companies and other talents, their investment income, equity transfer income, and equity incentive income will be rewarded at a maximum of 100% of the local economic contribution of the individual in the previous year.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23 Rewards for newly introduced talents. A living allowance of up to 120,000 yuan will be given to newly introduced talents with a bachelor's degree or above, an intermediate professional title or above, or a professional qualification (vocational skill level) above a technician. For the introduced post-doctoral scientific research personnel, a subsidy of up to 750,000 yuan will be given in accordance with scientific research, living allowances, housing, etc. For young people from Hong Kong, Macao and Taiwan who exchange, practice, get a job, start a business, participate in competitions, etc. in this district, a single item of up to 1 million yuan will be rewarded.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Chapter 6 Strengthening Service Guarantee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24 Optimize enterprise services.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Land support. Qualified key enterprises may apply independently or jointly for the construction of the headquarters office building, and the building scale shall be compatible with the economic contribution of the enterprise. Encourage the supply of land for emerging industrial parks in various ways such as "combination of lease and concession, lease first and then concession". The land in the emerging industrial park can be mixed according to different functions. The park is dominated by industrial functions, and a certain proportion of commercial, office and residential building areas can be appropriately allocated.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Support for settlement. For key enterprises, according to the company's business scale, economic contribution, etc., the district will give a certain amount of household quotas for total control, and support corporate executives and core talents who have not met the requirements for planning and guidance household registration to enjoy citizen treatment.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Support employees to settle down. For key enterprises (institutions), according to the size and contribution of the enterprises (institutions), the district will coordinate and solve the reasonable housing needs of employees of relevant key enterprises (institutions).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Transportation support. For key enterprises applying for the incremental quota of small and medium-sized passenger cars in Guangzhou, the district will give a certain quota of quota bidding rewards according to the company's operating scale and economic contribution.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Priority approval service. Give priority to administrative approval for projects of key enterprises, and give priority to services such as policy fulfillment.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Implement a docking mechanism for key coordination and service specialists. Key enterprises enjoy the contact service of district leaders, incorporate key enterprise projects into the management of key construction projects in the district, and guide financial institutions to increase credit support for key enterprises. Provide "one-to-one" full life cycle customized services, assist key enterprises to complete registration, tax registration, business docking, and enjoy professional legal services and financial services.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Marketing support. Coordinate and open public service resources to support the application of key enterprise application scenarios, support enterprises to promote products and expand markets, improve government-enterprise cooperation platforms, build enterprise resource exchange service platforms, and promote exchanges and cooperation among enterprises in the region, as well as collaborative innovation and development between large enterprises and small and medium-sized enterprises.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Optimize policy fulfillment service. Establish a follow-up service and supervision and inspection mechanism for the fulfillment of industrial support policies, follow up in a timely manner the performance of the promises of support objects to enjoy support, strengthen the management of fulfillment and implementation, and promote the support policies to play their due benefits. All policy declarations implement "one-stop acceptance, internal circulation, integrated services, and time-limited completion", and the district's policy fulfillment window can handle it at one window. The reward funds are used to support the high-quality development of enterprises and talents, and the time for the organization and declaration of each reward and subsidy project is subject to the specific declaration notice or guide. Qualification supplementary projects are accepted at any time, and the policy of "enjoying without application" is implemented to benefit enterprises. Data verification projects based on annual input or output base rewards can be organized and declared in the next year, and the implementation of installment or proportional pre-appropriation of rewards and subsidies is encouraged.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25 Optimize talent services. Relying on the one-stop service window for international talents in the Greater Bay Area and the International Talent Station in the Greater Bay Area (Guangdong), improve the comprehensive talent service system and implement the Nansha talent card classification service guarantee. Focusing on the key issues that are most concerned about the work and life of talents, comprehensively implement the service guarantee of "carefree living for talents", "no worries about children's schooling", "parents' old-age care", "spouse employment no worries" and "family medical care no worries" service guarantees to innovate in Nansha for talents Provide comprehensive support for starting a business and living and working in peace and contentment.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26 Give full play to the effect of preferential policies bestowed by superiors.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Implement policies such as tax rebates at the port of departure, pilot projects for general taxpayers of value-added tax in comprehensive bonded areas, tax incentives for international shipping insurance, and individual income tax incentives in the Bay Area. Actively strive for tax policies that support the development of the Nansha Free Trade Zone. Promote the interconnection of financial markets in an orderly manner, promote the implementation of high-level open pilot projects for cross-border trade and investment, actively carry out pilot projects for qualified foreign limited partners (QFLP), qualified domestic limited partners (QDLP), and pilot projects for multinational companies to integrate local and foreign currency capital pools and other capital account reforms, implement current account facilitation measures such as banks’ optimization of new international trade settlements, and exemption from registration for special refunds for trade in goods, deepen reform and opening up in the foreign exchange field, and improve the level of liberalization and facilitation of cross-border trade and investment. Strive to provide entry, stay and residence convenience for international high-end talents, and implement more vigorous international high-end talent introduction measures.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In line with the Regional Comprehensive Economic Partnership Agreement (RCEP), the Comprehensive and Progressive Trans-Pacific Partnership Agreement (CPTTP), and the Digital Economic Partnership Agreement (DEPA) and other international high-standard rules, carry out free trade facilitation, investment freedom facilitation, factor flow facilitation, Financial services, competition policy, green development, etc. will be piloted first to build a leading zone for economic globalization development. Support the construction of open platforms such as the Guangdong-Hong Kong-Macao Comprehensive Cooperation Demonstration Zone, the Import Trade Promotion Innovation Demonstration Zone, the Comprehensive Bonded Zone, and the Offshore Trade Comprehensive Service Platform. Exchange and cooperation between trade zones and free trade port areas, build a comprehensive service base for Chinese enterprises "going out", and build a new platform for international economic cooperation that integrates the "Belt and Road" construction of the Guangdong-Hong Kong-Macao Greater Bay Area.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Chapter 7 Supplementary Provisions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27 These measures shall come into force on the date of issuance and shall be valid for 5 years. The implementation rules shall be separately formulated by the relevant departments; in addition to this measure, special support measures for key industries, key fields, and key functional platforms shall be formulated by the relevant competent departments.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28 This measure involves the same matter or project of the same support object, and shall be implemented according to the principle of non-repetition. Enterprises obtain government support funds in various ways. In principle, they shall not exceed their annual economic contribution to the district. Newly introduced Or the newly established district key development and cultivation of industrial enterprises and technological innovation and development fields are excluded. For key industrial projects with strong driving force and great local contribution, enterprises with special contributions and special major issues can be determined according to specific conditions and given special contribution rewards. Enterprises can enjoy the same type of policy support from the city and the district at the same time, but the city's policy requires that the district share should be deducted when the enterprise declares support to the district. For enterprises moving in from other administrative districts in the city, the relevant regulations of the city shall be followed.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29 Support objects enjoying this measure must abide by national laws and regulations, operate legally, and sign relevant commitment letters; if the support object violates the commitment, the policy-making department shall recover the reward funds. Those who have malicious arrears of wages, malicious evasion of debts, etc., or major violations of laws and regulations, relatively large mass incidents, and relatively large quality and safety production accidents cannot enjoy the policy support content of this measure.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Article 30 The amount of rewards and subsidies mentioned in this measure is calculated in RMB if not specified, and the amount involving "above", "highest", "not exceeding", "not less than" and "not less than" includes the original number.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Before the implementation of this measure, projects that have been determined to be supported according to relevant procedures (including those that have a continuous period of time, meet the conditions but have not been cashed out, and have issued policy terms that are still valid) will be cashed out in accordance with the original policy in principle. The applied reward and subsidy items shall be implemented according to this measure. During the effective period of this measure, in case of adjustments and changes in laws, regulations or relevant policies, the provisions shall be followed.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iZDE0YzFlZTAyMGM3MjA3MGFmYTcxMzIwODlkZGUifQ=="/>
  </w:docVars>
  <w:rsids>
    <w:rsidRoot w:val="2D955DAD"/>
    <w:rsid w:val="2D955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2023-01-10T07:54:00Z</dcterms:created>
  <dc:creator>%St....</dc:creator>
  <cp:lastModifiedBy>%St....</cp:lastModifiedBy>
  <dcterms:modified xsi:type="dcterms:W3CDTF">2023-01-10T08:10:40Z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6E48DD46A16C4AFCA0EA00CD26F9AFCC</vt:lpwstr>
  </property>
</Properties>
</file>