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Document Number：</w:t>
      </w:r>
      <w:bookmarkStart w:id="0" w:name="_GoBack"/>
      <w:r>
        <w:rPr>
          <w:bdr w:val="none" w:color="auto" w:sz="0" w:space="0"/>
          <w:vertAlign w:val="baseline"/>
        </w:rPr>
        <w:t>No. 1170 [2022] of the Shenzhen Stock Exchange</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Area of Law：</w:t>
      </w:r>
      <w:r>
        <w:rPr>
          <w:bdr w:val="none" w:color="auto" w:sz="0" w:space="0"/>
          <w:vertAlign w:val="baseline"/>
        </w:rPr>
        <w:t>Bonds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Level of Authority：</w:t>
      </w:r>
      <w:r>
        <w:rPr>
          <w:bdr w:val="none" w:color="auto" w:sz="0" w:space="0"/>
          <w:vertAlign w:val="baseline"/>
        </w:rPr>
        <w:t>Industry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Date Issued：</w:t>
      </w:r>
      <w:r>
        <w:rPr>
          <w:bdr w:val="none" w:color="auto" w:sz="0" w:space="0"/>
          <w:vertAlign w:val="baseline"/>
        </w:rPr>
        <w:t>12-16-2022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Effective Date：</w:t>
      </w:r>
      <w:r>
        <w:rPr>
          <w:bdr w:val="none" w:color="auto" w:sz="0" w:space="0"/>
          <w:vertAlign w:val="baseline"/>
        </w:rPr>
        <w:t>12-16-2022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Issuing Authority：</w:t>
      </w:r>
      <w:r>
        <w:rPr>
          <w:bdr w:val="none" w:color="auto" w:sz="0" w:space="0"/>
          <w:vertAlign w:val="baseline"/>
        </w:rPr>
        <w:t>Shenzhen Stock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Status：</w:t>
      </w:r>
      <w:r>
        <w:rPr>
          <w:bdr w:val="none" w:color="auto" w:sz="0" w:space="0"/>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bdr w:val="none" w:color="auto" w:sz="0" w:space="0"/>
          <w:vertAlign w:val="baseline"/>
        </w:rPr>
      </w:pPr>
      <w:r>
        <w:rPr>
          <w:rStyle w:val="5"/>
          <w:b/>
          <w:bCs/>
          <w:bdr w:val="none" w:color="auto" w:sz="0" w:space="0"/>
          <w:vertAlign w:val="baseline"/>
        </w:rPr>
        <w:t>Topic：</w:t>
      </w:r>
      <w:r>
        <w:rPr>
          <w:bdr w:val="none" w:color="auto" w:sz="0" w:space="0"/>
          <w:vertAlign w:val="baseline"/>
        </w:rPr>
        <w:t>Construction of the Guangdong-Hong Kong-Macao Greater Bay Area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bdr w:val="none" w:color="auto" w:sz="0" w:space="0"/>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rStyle w:val="5"/>
          <w:b/>
          <w:bCs/>
          <w:bdr w:val="none" w:color="auto" w:sz="0" w:space="0"/>
          <w:vertAlign w:val="baseline"/>
        </w:rPr>
        <w:t>Notice by the Shenzhen Stock Exchange of Issuing the Guidelines for the Pilot Program of Cross-border Bond Quotation Business on the Greater Bay Area Bond Platform of the Shenzhen Stock Exchange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bdr w:val="none" w:color="auto" w:sz="0" w:space="0"/>
          <w:vertAlign w:val="baseline"/>
        </w:rPr>
        <w:t>(No. 1170 [2022] of the Shenzhen Stock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All market participants: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bdr w:val="none" w:color="auto" w:sz="0" w:space="0"/>
          <w:vertAlign w:val="baseline"/>
        </w:rPr>
      </w:pPr>
      <w:r>
        <w:rPr>
          <w:bdr w:val="none" w:color="auto" w:sz="0" w:space="0"/>
          <w:vertAlign w:val="baseline"/>
        </w:rPr>
        <w:t>For the purposes of implementing the Outline Development Plan for the Guangdong-Hong Kong-Macao Greater Bay Area and the Opinions of the CPC Central Committee and the State Council on Supporting Shenzhen in Building a Pioneering Demonstration Zone for Socialism with Chinese Characteristics and advancing the opening and innovation of bond exchanges, the Shenzhen Stock Exchange (hereinafter referred to as the "Exchange") conducts the pilot program of cross-border bond quotation business on the Greater Bay Area Bond Platform, and formulates the Guidelines for the Pilot Program of Cross-border Bond Quotation Business on the Greater Bay Area Bond Platform of the Shenzhen Stock Exchange, which are hereby issued, and shall come into force on the date of issuance, and give notice of the relevant matters as follows: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bdr w:val="none" w:color="auto" w:sz="0" w:space="0"/>
          <w:vertAlign w:val="baseli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During the pilot period, the Greater Bay Area bond platform only provides listing services for cross-border bonds. The transaction transfer and registration and settlement services of cross-border bonds are still carried out through relevant overseas financial infrastructure channels.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At the initial stage of the pilot program, cross-border bonds are limited to offshore RMB bonds issued by designated issuers to professional institutional investors in Hong Kong, China.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Considering the technical preparations of the market and the business of the Exchange, the implementation of Article 16 of the service content in the "Guidelines for the Pilot Program of Cross-border Bond Listing Business on the Shenzhen Stock Exchange's Greater Bay Area Bond Platform" is postponed, and the specific implementation time will be notified by the Exchange.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The listing application documents and duration information disclosure documents of cross-border bonds are submitted through the special channel of the Greater Bay Area Bond Platform, contact number 0755-88668721, email (szsebond@szse.cn).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8D155E"/>
    <w:multiLevelType w:val="singleLevel"/>
    <w:tmpl w:val="4A8D15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62E2485A"/>
    <w:rsid w:val="62E2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2023-01-11T05:29:00Z</dcterms:created>
  <dc:creator>%St....</dc:creator>
  <cp:lastModifiedBy>%St....</cp:lastModifiedBy>
  <dcterms:modified xsi:type="dcterms:W3CDTF">2023-01-11T06:13:18Z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ADC06863BE1C46B7B7AA9D04C15185BF</vt:lpwstr>
  </property>
</Properties>
</file>