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黑体" w:hAnsi="Times New Roman" w:eastAsia="黑体"/>
          <w:b/>
          <w:sz w:val="30"/>
          <w:szCs w:val="30"/>
        </w:rPr>
      </w:pPr>
    </w:p>
    <w:p>
      <w:pPr>
        <w:snapToGrid w:val="0"/>
        <w:spacing w:line="600" w:lineRule="exact"/>
        <w:jc w:val="center"/>
        <w:rPr>
          <w:rFonts w:ascii="黑体" w:hAnsi="Times New Roman" w:eastAsia="黑体"/>
          <w:b/>
          <w:sz w:val="30"/>
          <w:szCs w:val="30"/>
        </w:rPr>
      </w:pPr>
    </w:p>
    <w:p>
      <w:pPr>
        <w:snapToGrid w:val="0"/>
        <w:spacing w:line="600" w:lineRule="exact"/>
        <w:jc w:val="center"/>
        <w:rPr>
          <w:rFonts w:ascii="黑体" w:hAnsi="Times New Roman" w:eastAsia="黑体"/>
          <w:b/>
          <w:sz w:val="30"/>
          <w:szCs w:val="30"/>
        </w:rPr>
      </w:pPr>
    </w:p>
    <w:p>
      <w:pPr>
        <w:snapToGrid w:val="0"/>
        <w:spacing w:line="600" w:lineRule="exact"/>
        <w:jc w:val="center"/>
        <w:rPr>
          <w:rFonts w:ascii="黑体" w:hAnsi="Times New Roman" w:eastAsia="黑体"/>
          <w:b/>
          <w:sz w:val="30"/>
          <w:szCs w:val="30"/>
        </w:rPr>
      </w:pPr>
    </w:p>
    <w:p>
      <w:pPr>
        <w:snapToGrid w:val="0"/>
        <w:spacing w:line="600" w:lineRule="exact"/>
        <w:jc w:val="center"/>
        <w:rPr>
          <w:rFonts w:ascii="黑体" w:hAnsi="Times New Roman" w:eastAsia="黑体"/>
          <w:b/>
          <w:sz w:val="30"/>
          <w:szCs w:val="30"/>
        </w:rPr>
      </w:pPr>
    </w:p>
    <w:p>
      <w:pPr>
        <w:snapToGrid w:val="0"/>
        <w:spacing w:line="360" w:lineRule="auto"/>
        <w:jc w:val="center"/>
        <w:rPr>
          <w:rFonts w:ascii="黑体" w:eastAsia="黑体"/>
          <w:sz w:val="52"/>
          <w:szCs w:val="52"/>
        </w:rPr>
      </w:pPr>
      <w:r>
        <w:rPr>
          <w:rFonts w:hint="eastAsia" w:ascii="黑体" w:hAnsi="黑体" w:eastAsia="宋体"/>
          <w:sz w:val="52"/>
          <w:szCs w:val="52"/>
        </w:rPr>
        <w:t>銀行</w:t>
      </w:r>
      <w:bookmarkStart w:id="93" w:name="_GoBack"/>
      <w:bookmarkEnd w:id="93"/>
      <w:r>
        <w:rPr>
          <w:rFonts w:hint="eastAsia" w:ascii="黑体" w:hAnsi="黑体" w:eastAsia="宋体"/>
          <w:sz w:val="52"/>
          <w:szCs w:val="52"/>
        </w:rPr>
        <w:t>跨境人民幣業務展業</w:t>
      </w:r>
      <w:r>
        <w:rPr>
          <w:rFonts w:hint="eastAsia" w:ascii="黑体" w:eastAsia="宋体"/>
          <w:sz w:val="52"/>
          <w:szCs w:val="52"/>
        </w:rPr>
        <w:t>規範</w:t>
      </w:r>
    </w:p>
    <w:p>
      <w:pPr>
        <w:snapToGrid w:val="0"/>
        <w:spacing w:line="360" w:lineRule="auto"/>
        <w:jc w:val="center"/>
        <w:rPr>
          <w:rFonts w:ascii="黑体" w:eastAsia="黑体"/>
          <w:sz w:val="52"/>
          <w:szCs w:val="52"/>
        </w:rPr>
      </w:pPr>
      <w:r>
        <w:rPr>
          <w:rFonts w:hint="eastAsia" w:ascii="黑体" w:eastAsia="宋体"/>
          <w:sz w:val="52"/>
          <w:szCs w:val="52"/>
        </w:rPr>
        <w:t>（2</w:t>
      </w:r>
      <w:r>
        <w:rPr>
          <w:rFonts w:ascii="黑体" w:eastAsia="宋体"/>
          <w:sz w:val="52"/>
          <w:szCs w:val="52"/>
        </w:rPr>
        <w:t>02</w:t>
      </w:r>
      <w:r>
        <w:rPr>
          <w:rFonts w:hint="eastAsia" w:ascii="黑体" w:eastAsia="宋体"/>
          <w:sz w:val="52"/>
          <w:szCs w:val="52"/>
          <w:lang w:val="en-US" w:eastAsia="zh-CN"/>
        </w:rPr>
        <w:t>2年</w:t>
      </w:r>
      <w:r>
        <w:rPr>
          <w:rFonts w:hint="eastAsia" w:ascii="黑体" w:eastAsia="宋体"/>
          <w:sz w:val="52"/>
          <w:szCs w:val="52"/>
        </w:rPr>
        <w:t>版）</w:t>
      </w:r>
    </w:p>
    <w:p>
      <w:pPr>
        <w:snapToGrid w:val="0"/>
        <w:spacing w:line="360" w:lineRule="auto"/>
        <w:jc w:val="center"/>
        <w:rPr>
          <w:rFonts w:hint="eastAsia" w:ascii="黑体" w:eastAsia="黑体"/>
          <w:sz w:val="52"/>
          <w:szCs w:val="52"/>
        </w:rPr>
      </w:pPr>
    </w:p>
    <w:p>
      <w:pPr>
        <w:snapToGrid w:val="0"/>
        <w:spacing w:line="360" w:lineRule="auto"/>
        <w:jc w:val="center"/>
        <w:rPr>
          <w:rFonts w:ascii="黑体" w:hAnsi="黑体" w:eastAsia="黑体"/>
          <w:sz w:val="36"/>
          <w:szCs w:val="36"/>
        </w:rPr>
      </w:pPr>
      <w:r>
        <w:rPr>
          <w:rFonts w:hint="eastAsia" w:ascii="黑体" w:hAnsi="黑体" w:eastAsia="宋体"/>
          <w:sz w:val="52"/>
          <w:szCs w:val="52"/>
        </w:rPr>
        <w:t>服務</w:t>
      </w:r>
      <w:r>
        <w:rPr>
          <w:rFonts w:ascii="黑体" w:hAnsi="黑体" w:eastAsia="宋体"/>
          <w:sz w:val="52"/>
          <w:szCs w:val="52"/>
        </w:rPr>
        <w:t>貿易</w:t>
      </w:r>
      <w:r>
        <w:rPr>
          <w:rFonts w:hint="eastAsia" w:ascii="黑体" w:hAnsi="黑体" w:eastAsia="宋体"/>
          <w:sz w:val="52"/>
          <w:szCs w:val="52"/>
        </w:rPr>
        <w:t>及</w:t>
      </w:r>
      <w:r>
        <w:rPr>
          <w:rFonts w:ascii="黑体" w:hAnsi="黑体" w:eastAsia="宋体"/>
          <w:sz w:val="52"/>
          <w:szCs w:val="52"/>
        </w:rPr>
        <w:t>其他經常</w:t>
      </w:r>
      <w:r>
        <w:rPr>
          <w:rFonts w:hint="eastAsia" w:ascii="黑体" w:hAnsi="黑体" w:eastAsia="宋体"/>
          <w:sz w:val="52"/>
          <w:szCs w:val="52"/>
        </w:rPr>
        <w:t>專案</w:t>
      </w:r>
      <w:r>
        <w:rPr>
          <w:rFonts w:ascii="黑体" w:hAnsi="黑体" w:eastAsia="宋体"/>
          <w:sz w:val="52"/>
          <w:szCs w:val="52"/>
        </w:rPr>
        <w:t>展業規</w:t>
      </w:r>
      <w:r>
        <w:rPr>
          <w:rFonts w:hint="eastAsia" w:ascii="黑体" w:hAnsi="黑体" w:eastAsia="宋体"/>
          <w:sz w:val="52"/>
          <w:szCs w:val="52"/>
        </w:rPr>
        <w:t>範</w:t>
      </w:r>
    </w:p>
    <w:p>
      <w:pPr>
        <w:snapToGrid w:val="0"/>
        <w:spacing w:line="600" w:lineRule="exact"/>
        <w:jc w:val="center"/>
        <w:rPr>
          <w:rFonts w:ascii="黑体" w:eastAsia="黑体"/>
          <w:sz w:val="36"/>
          <w:szCs w:val="36"/>
        </w:rPr>
      </w:pPr>
    </w:p>
    <w:p>
      <w:pPr>
        <w:snapToGrid w:val="0"/>
        <w:spacing w:line="600" w:lineRule="exact"/>
        <w:jc w:val="center"/>
        <w:rPr>
          <w:rFonts w:ascii="黑体" w:eastAsia="黑体"/>
          <w:sz w:val="36"/>
          <w:szCs w:val="36"/>
        </w:rPr>
      </w:pPr>
    </w:p>
    <w:p>
      <w:pPr>
        <w:snapToGrid w:val="0"/>
        <w:spacing w:line="600" w:lineRule="exact"/>
        <w:jc w:val="center"/>
        <w:rPr>
          <w:rFonts w:ascii="黑体" w:eastAsia="黑体"/>
          <w:sz w:val="36"/>
          <w:szCs w:val="36"/>
        </w:rPr>
      </w:pPr>
    </w:p>
    <w:p>
      <w:pPr>
        <w:snapToGrid w:val="0"/>
        <w:spacing w:line="600" w:lineRule="exact"/>
        <w:jc w:val="center"/>
        <w:rPr>
          <w:rFonts w:ascii="黑体" w:eastAsia="黑体"/>
          <w:sz w:val="36"/>
          <w:szCs w:val="36"/>
        </w:rPr>
      </w:pPr>
    </w:p>
    <w:p>
      <w:pPr>
        <w:snapToGrid w:val="0"/>
        <w:spacing w:line="600" w:lineRule="exact"/>
        <w:jc w:val="center"/>
        <w:rPr>
          <w:rFonts w:ascii="黑体" w:eastAsia="黑体"/>
          <w:sz w:val="36"/>
          <w:szCs w:val="36"/>
        </w:rPr>
      </w:pPr>
    </w:p>
    <w:p>
      <w:pPr>
        <w:snapToGrid w:val="0"/>
        <w:spacing w:line="600" w:lineRule="exact"/>
        <w:jc w:val="center"/>
        <w:rPr>
          <w:rFonts w:ascii="黑体" w:eastAsia="黑体"/>
          <w:sz w:val="36"/>
          <w:szCs w:val="36"/>
        </w:rPr>
      </w:pPr>
    </w:p>
    <w:p>
      <w:pPr>
        <w:snapToGrid w:val="0"/>
        <w:spacing w:line="600" w:lineRule="exact"/>
        <w:jc w:val="center"/>
        <w:rPr>
          <w:rFonts w:ascii="黑体" w:eastAsia="黑体"/>
          <w:sz w:val="36"/>
          <w:szCs w:val="36"/>
        </w:rPr>
      </w:pPr>
    </w:p>
    <w:p>
      <w:pPr>
        <w:snapToGrid w:val="0"/>
        <w:spacing w:line="600" w:lineRule="exact"/>
        <w:jc w:val="center"/>
        <w:rPr>
          <w:rFonts w:ascii="黑体" w:eastAsia="黑体"/>
          <w:sz w:val="36"/>
          <w:szCs w:val="36"/>
        </w:rPr>
      </w:pPr>
    </w:p>
    <w:p>
      <w:pPr>
        <w:snapToGrid w:val="0"/>
        <w:spacing w:line="600" w:lineRule="exact"/>
        <w:jc w:val="center"/>
        <w:rPr>
          <w:rFonts w:ascii="黑体" w:hAnsi="Times New Roman" w:eastAsia="黑体"/>
          <w:sz w:val="28"/>
          <w:szCs w:val="36"/>
        </w:rPr>
      </w:pPr>
    </w:p>
    <w:p>
      <w:pPr>
        <w:snapToGrid w:val="0"/>
        <w:spacing w:line="600" w:lineRule="exact"/>
        <w:jc w:val="center"/>
        <w:rPr>
          <w:rFonts w:ascii="黑体" w:hAnsi="Times New Roman" w:eastAsia="黑体"/>
          <w:sz w:val="28"/>
          <w:szCs w:val="36"/>
        </w:rPr>
        <w:sectPr>
          <w:footerReference r:id="rId5" w:type="first"/>
          <w:footerReference r:id="rId3" w:type="default"/>
          <w:footerReference r:id="rId4" w:type="even"/>
          <w:pgSz w:w="11906" w:h="16838"/>
          <w:pgMar w:top="1440" w:right="1800" w:bottom="1440" w:left="1800" w:header="851" w:footer="992" w:gutter="0"/>
          <w:pgNumType w:start="1"/>
          <w:cols w:space="720" w:num="1"/>
          <w:titlePg/>
          <w:docGrid w:type="lines" w:linePitch="312" w:charSpace="0"/>
        </w:sectPr>
      </w:pPr>
    </w:p>
    <w:p>
      <w:pPr>
        <w:snapToGrid w:val="0"/>
        <w:spacing w:line="600" w:lineRule="exact"/>
        <w:jc w:val="center"/>
        <w:rPr>
          <w:rFonts w:ascii="黑体" w:hAnsi="Times New Roman" w:eastAsia="黑体"/>
          <w:bCs/>
          <w:sz w:val="44"/>
          <w:szCs w:val="44"/>
        </w:rPr>
      </w:pPr>
      <w:r>
        <w:rPr>
          <w:rFonts w:hint="eastAsia" w:ascii="黑体" w:hAnsi="Times New Roman" w:eastAsia="宋体"/>
          <w:bCs/>
          <w:sz w:val="44"/>
          <w:szCs w:val="44"/>
        </w:rPr>
        <w:t xml:space="preserve">目 </w:t>
      </w:r>
      <w:r>
        <w:rPr>
          <w:rFonts w:ascii="黑体" w:hAnsi="Times New Roman" w:eastAsia="宋体"/>
          <w:bCs/>
          <w:sz w:val="44"/>
          <w:szCs w:val="44"/>
        </w:rPr>
        <w:t xml:space="preserve"> </w:t>
      </w:r>
      <w:r>
        <w:rPr>
          <w:rFonts w:hint="eastAsia" w:ascii="黑体" w:hAnsi="Times New Roman" w:eastAsia="宋体"/>
          <w:bCs/>
          <w:sz w:val="44"/>
          <w:szCs w:val="44"/>
        </w:rPr>
        <w:t>錄</w:t>
      </w:r>
    </w:p>
    <w:p>
      <w:pPr>
        <w:pStyle w:val="18"/>
        <w:tabs>
          <w:tab w:val="right" w:leader="dot" w:pos="8296"/>
        </w:tabs>
        <w:rPr>
          <w:rFonts w:ascii="宋体" w:hAnsi="宋体" w:cs="黑体"/>
          <w:szCs w:val="22"/>
        </w:rPr>
      </w:pPr>
      <w:r>
        <w:rPr>
          <w:rFonts w:hint="eastAsia" w:ascii="宋体" w:hAnsi="宋体"/>
          <w:sz w:val="32"/>
          <w:szCs w:val="32"/>
        </w:rPr>
        <w:fldChar w:fldCharType="begin"/>
      </w:r>
      <w:r>
        <w:rPr>
          <w:rFonts w:hint="eastAsia" w:ascii="宋体" w:hAnsi="宋体"/>
          <w:sz w:val="32"/>
          <w:szCs w:val="32"/>
        </w:rPr>
        <w:instrText xml:space="preserve"> TOC \o "1-3" \h \z </w:instrText>
      </w:r>
      <w:r>
        <w:rPr>
          <w:rFonts w:hint="eastAsia" w:ascii="宋体" w:hAnsi="宋体"/>
          <w:sz w:val="32"/>
          <w:szCs w:val="32"/>
        </w:rPr>
        <w:fldChar w:fldCharType="separate"/>
      </w:r>
    </w:p>
    <w:p>
      <w:pPr>
        <w:pStyle w:val="18"/>
        <w:tabs>
          <w:tab w:val="right" w:leader="dot" w:pos="8296"/>
        </w:tabs>
        <w:rPr>
          <w:rFonts w:ascii="宋体" w:hAnsi="宋体" w:cs="黑体"/>
          <w:szCs w:val="22"/>
        </w:rPr>
      </w:pPr>
      <w:r>
        <w:fldChar w:fldCharType="begin"/>
      </w:r>
      <w:r>
        <w:instrText xml:space="preserve"> HYPERLINK \l "_Toc65325568" </w:instrText>
      </w:r>
      <w:r>
        <w:fldChar w:fldCharType="separate"/>
      </w:r>
      <w:r>
        <w:rPr>
          <w:rStyle w:val="34"/>
          <w:rFonts w:ascii="宋体" w:hAnsi="宋体" w:eastAsia="宋体"/>
        </w:rPr>
        <w:t>第一部分 總則</w:t>
      </w:r>
      <w:r>
        <w:rPr>
          <w:rFonts w:ascii="宋体" w:hAnsi="宋体"/>
        </w:rPr>
        <w:tab/>
      </w:r>
      <w:r>
        <w:rPr>
          <w:rFonts w:ascii="宋体" w:hAnsi="宋体"/>
        </w:rPr>
        <w:fldChar w:fldCharType="begin"/>
      </w:r>
      <w:r>
        <w:rPr>
          <w:rFonts w:ascii="宋体" w:hAnsi="宋体"/>
        </w:rPr>
        <w:instrText xml:space="preserve"> PAGEREF _Toc65325568 \h </w:instrText>
      </w:r>
      <w:r>
        <w:rPr>
          <w:rFonts w:ascii="宋体" w:hAnsi="宋体"/>
        </w:rPr>
        <w:fldChar w:fldCharType="separate"/>
      </w:r>
      <w:r>
        <w:rPr>
          <w:rFonts w:ascii="宋体" w:hAnsi="宋体" w:eastAsia="宋体"/>
        </w:rPr>
        <w:t>1</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"_Toc65325569" </w:instrText>
      </w:r>
      <w:r>
        <w:fldChar w:fldCharType="separate"/>
      </w:r>
      <w:r>
        <w:rPr>
          <w:rStyle w:val="34"/>
          <w:rFonts w:ascii="宋体" w:hAnsi="宋体" w:eastAsia="宋体"/>
        </w:rPr>
        <w:t>一、主要原則</w:t>
      </w:r>
      <w:r>
        <w:rPr>
          <w:rFonts w:ascii="宋体" w:hAnsi="宋体"/>
        </w:rPr>
        <w:tab/>
      </w:r>
      <w:r>
        <w:rPr>
          <w:rFonts w:ascii="宋体" w:hAnsi="宋体"/>
        </w:rPr>
        <w:fldChar w:fldCharType="begin"/>
      </w:r>
      <w:r>
        <w:rPr>
          <w:rFonts w:ascii="宋体" w:hAnsi="宋体"/>
        </w:rPr>
        <w:instrText xml:space="preserve"> PAGEREF _Toc65325569 \h </w:instrText>
      </w:r>
      <w:r>
        <w:rPr>
          <w:rFonts w:ascii="宋体" w:hAnsi="宋体"/>
        </w:rPr>
        <w:fldChar w:fldCharType="separate"/>
      </w:r>
      <w:r>
        <w:rPr>
          <w:rFonts w:ascii="宋体" w:hAnsi="宋体" w:eastAsia="宋体"/>
        </w:rPr>
        <w:t>1</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"_Toc65325570" </w:instrText>
      </w:r>
      <w:r>
        <w:fldChar w:fldCharType="separate"/>
      </w:r>
      <w:r>
        <w:rPr>
          <w:rStyle w:val="34"/>
          <w:rFonts w:ascii="宋体" w:hAnsi="宋体" w:eastAsia="宋体"/>
        </w:rPr>
        <w:t>二、客戶識別</w:t>
      </w:r>
      <w:r>
        <w:rPr>
          <w:rFonts w:ascii="宋体" w:hAnsi="宋体"/>
        </w:rPr>
        <w:tab/>
      </w:r>
      <w:r>
        <w:rPr>
          <w:rFonts w:ascii="宋体" w:hAnsi="宋体"/>
        </w:rPr>
        <w:fldChar w:fldCharType="begin"/>
      </w:r>
      <w:r>
        <w:rPr>
          <w:rFonts w:ascii="宋体" w:hAnsi="宋体"/>
        </w:rPr>
        <w:instrText xml:space="preserve"> PAGEREF _Toc65325570 \h </w:instrText>
      </w:r>
      <w:r>
        <w:rPr>
          <w:rFonts w:ascii="宋体" w:hAnsi="宋体"/>
        </w:rPr>
        <w:fldChar w:fldCharType="separate"/>
      </w:r>
      <w:r>
        <w:rPr>
          <w:rFonts w:ascii="宋体" w:hAnsi="宋体" w:eastAsia="宋体"/>
        </w:rPr>
        <w:t>2</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"_Toc65325571" </w:instrText>
      </w:r>
      <w:r>
        <w:fldChar w:fldCharType="separate"/>
      </w:r>
      <w:r>
        <w:rPr>
          <w:rStyle w:val="34"/>
          <w:rFonts w:ascii="宋体" w:hAnsi="宋体" w:eastAsia="宋体" w:cs="仿宋"/>
        </w:rPr>
        <w:t>三、客戶分類</w:t>
      </w:r>
      <w:r>
        <w:rPr>
          <w:rFonts w:ascii="宋体" w:hAnsi="宋体"/>
        </w:rPr>
        <w:tab/>
      </w:r>
      <w:r>
        <w:rPr>
          <w:rFonts w:ascii="宋体" w:hAnsi="宋体"/>
        </w:rPr>
        <w:fldChar w:fldCharType="begin"/>
      </w:r>
      <w:r>
        <w:rPr>
          <w:rFonts w:ascii="宋体" w:hAnsi="宋体"/>
        </w:rPr>
        <w:instrText xml:space="preserve"> PAGEREF _Toc65325571 \h </w:instrText>
      </w:r>
      <w:r>
        <w:rPr>
          <w:rFonts w:ascii="宋体" w:hAnsi="宋体"/>
        </w:rPr>
        <w:fldChar w:fldCharType="separate"/>
      </w:r>
      <w:r>
        <w:rPr>
          <w:rFonts w:ascii="宋体" w:hAnsi="宋体" w:eastAsia="宋体"/>
        </w:rPr>
        <w:t>3</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"_Toc65325572" </w:instrText>
      </w:r>
      <w:r>
        <w:fldChar w:fldCharType="separate"/>
      </w:r>
      <w:r>
        <w:rPr>
          <w:rStyle w:val="34"/>
          <w:rFonts w:ascii="宋体" w:hAnsi="宋体" w:eastAsia="宋体" w:cs="仿宋"/>
        </w:rPr>
        <w:t>四、業務審核</w:t>
      </w:r>
      <w:r>
        <w:rPr>
          <w:rFonts w:ascii="宋体" w:hAnsi="宋体"/>
        </w:rPr>
        <w:tab/>
      </w:r>
      <w:r>
        <w:rPr>
          <w:rFonts w:ascii="宋体" w:hAnsi="宋体"/>
        </w:rPr>
        <w:fldChar w:fldCharType="begin"/>
      </w:r>
      <w:r>
        <w:rPr>
          <w:rFonts w:ascii="宋体" w:hAnsi="宋体"/>
        </w:rPr>
        <w:instrText xml:space="preserve"> PAGEREF _Toc65325572 \h </w:instrText>
      </w:r>
      <w:r>
        <w:rPr>
          <w:rFonts w:ascii="宋体" w:hAnsi="宋体"/>
        </w:rPr>
        <w:fldChar w:fldCharType="separate"/>
      </w:r>
      <w:r>
        <w:rPr>
          <w:rFonts w:ascii="宋体" w:hAnsi="宋体" w:eastAsia="宋体"/>
        </w:rPr>
        <w:t>4</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"_Toc65325573" </w:instrText>
      </w:r>
      <w:r>
        <w:fldChar w:fldCharType="separate"/>
      </w:r>
      <w:r>
        <w:rPr>
          <w:rStyle w:val="34"/>
          <w:rFonts w:ascii="宋体" w:hAnsi="宋体" w:eastAsia="宋体" w:cs="仿宋"/>
        </w:rPr>
        <w:t>五、風險提示</w:t>
      </w:r>
      <w:r>
        <w:rPr>
          <w:rFonts w:ascii="宋体" w:hAnsi="宋体"/>
        </w:rPr>
        <w:tab/>
      </w:r>
      <w:r>
        <w:rPr>
          <w:rFonts w:ascii="宋体" w:hAnsi="宋体"/>
        </w:rPr>
        <w:fldChar w:fldCharType="begin"/>
      </w:r>
      <w:r>
        <w:rPr>
          <w:rFonts w:ascii="宋体" w:hAnsi="宋体"/>
        </w:rPr>
        <w:instrText xml:space="preserve"> PAGEREF _Toc65325573 \h </w:instrText>
      </w:r>
      <w:r>
        <w:rPr>
          <w:rFonts w:ascii="宋体" w:hAnsi="宋体"/>
        </w:rPr>
        <w:fldChar w:fldCharType="separate"/>
      </w:r>
      <w:r>
        <w:rPr>
          <w:rFonts w:ascii="宋体" w:hAnsi="宋体" w:eastAsia="宋体"/>
        </w:rPr>
        <w:t>7</w:t>
      </w:r>
      <w:r>
        <w:rPr>
          <w:rFonts w:ascii="宋体" w:hAnsi="宋体"/>
        </w:rPr>
        <w:fldChar w:fldCharType="end"/>
      </w:r>
      <w:r>
        <w:rPr>
          <w:rFonts w:ascii="宋体" w:hAnsi="宋体"/>
        </w:rPr>
        <w:fldChar w:fldCharType="end"/>
      </w:r>
    </w:p>
    <w:p>
      <w:pPr>
        <w:pStyle w:val="18"/>
        <w:tabs>
          <w:tab w:val="right" w:leader="dot" w:pos="8296"/>
        </w:tabs>
        <w:rPr>
          <w:rFonts w:ascii="宋体" w:hAnsi="宋体" w:cs="黑体"/>
          <w:szCs w:val="22"/>
        </w:rPr>
      </w:pPr>
      <w:r>
        <w:fldChar w:fldCharType="begin"/>
      </w:r>
      <w:r>
        <w:instrText xml:space="preserve"> HYPERLINK \l "_Toc65325574" </w:instrText>
      </w:r>
      <w:r>
        <w:fldChar w:fldCharType="separate"/>
      </w:r>
      <w:r>
        <w:rPr>
          <w:rStyle w:val="34"/>
          <w:rFonts w:ascii="宋体" w:hAnsi="宋体" w:eastAsia="宋体"/>
        </w:rPr>
        <w:t>第二部分 服務貿易及其他經常專案匯出業務具體審核規範</w:t>
      </w:r>
      <w:r>
        <w:rPr>
          <w:rFonts w:ascii="宋体" w:hAnsi="宋体"/>
        </w:rPr>
        <w:tab/>
      </w:r>
      <w:r>
        <w:rPr>
          <w:rFonts w:ascii="宋体" w:hAnsi="宋体"/>
        </w:rPr>
        <w:fldChar w:fldCharType="begin"/>
      </w:r>
      <w:r>
        <w:rPr>
          <w:rFonts w:ascii="宋体" w:hAnsi="宋体"/>
        </w:rPr>
        <w:instrText xml:space="preserve"> PAGEREF _Toc65325574 \h </w:instrText>
      </w:r>
      <w:r>
        <w:rPr>
          <w:rFonts w:ascii="宋体" w:hAnsi="宋体"/>
        </w:rPr>
        <w:fldChar w:fldCharType="separate"/>
      </w:r>
      <w:r>
        <w:rPr>
          <w:rFonts w:ascii="宋体" w:hAnsi="宋体" w:eastAsia="宋体"/>
        </w:rPr>
        <w:t>9</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"_Toc65325575" </w:instrText>
      </w:r>
      <w:r>
        <w:fldChar w:fldCharType="separate"/>
      </w:r>
      <w:r>
        <w:rPr>
          <w:rStyle w:val="34"/>
          <w:rFonts w:ascii="宋体" w:hAnsi="宋体" w:eastAsia="宋体" w:cs="仿宋"/>
        </w:rPr>
        <w:t>一、單筆40萬元（含）以下的服務貿易跨境人民幣匯出</w:t>
      </w:r>
      <w:r>
        <w:rPr>
          <w:rFonts w:ascii="宋体" w:hAnsi="宋体"/>
        </w:rPr>
        <w:tab/>
      </w:r>
      <w:r>
        <w:rPr>
          <w:rFonts w:ascii="宋体" w:hAnsi="宋体"/>
        </w:rPr>
        <w:fldChar w:fldCharType="begin"/>
      </w:r>
      <w:r>
        <w:rPr>
          <w:rFonts w:ascii="宋体" w:hAnsi="宋体"/>
        </w:rPr>
        <w:instrText xml:space="preserve"> PAGEREF _Toc65325575 \h </w:instrText>
      </w:r>
      <w:r>
        <w:rPr>
          <w:rFonts w:ascii="宋体" w:hAnsi="宋体"/>
        </w:rPr>
        <w:fldChar w:fldCharType="separate"/>
      </w:r>
      <w:r>
        <w:rPr>
          <w:rFonts w:ascii="宋体" w:hAnsi="宋体" w:eastAsia="宋体"/>
        </w:rPr>
        <w:t>9</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"_Toc65325576" </w:instrText>
      </w:r>
      <w:r>
        <w:fldChar w:fldCharType="separate"/>
      </w:r>
      <w:r>
        <w:rPr>
          <w:rStyle w:val="34"/>
          <w:rFonts w:ascii="宋体" w:hAnsi="宋体" w:eastAsia="宋体" w:cs="仿宋"/>
        </w:rPr>
        <w:t>二、單筆40萬元（不含）以上的服務貿易跨境人民幣匯出</w:t>
      </w:r>
      <w:r>
        <w:rPr>
          <w:rFonts w:ascii="宋体" w:hAnsi="宋体"/>
        </w:rPr>
        <w:tab/>
      </w:r>
      <w:r>
        <w:rPr>
          <w:rFonts w:ascii="宋体" w:hAnsi="宋体"/>
        </w:rPr>
        <w:fldChar w:fldCharType="begin"/>
      </w:r>
      <w:r>
        <w:rPr>
          <w:rFonts w:ascii="宋体" w:hAnsi="宋体"/>
        </w:rPr>
        <w:instrText xml:space="preserve"> PAGEREF _Toc65325576 \h </w:instrText>
      </w:r>
      <w:r>
        <w:rPr>
          <w:rFonts w:ascii="宋体" w:hAnsi="宋体"/>
        </w:rPr>
        <w:fldChar w:fldCharType="separate"/>
      </w:r>
      <w:r>
        <w:rPr>
          <w:rFonts w:ascii="宋体" w:hAnsi="宋体" w:eastAsia="宋体"/>
        </w:rPr>
        <w:t>11</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"_Toc65325577" </w:instrText>
      </w:r>
      <w:r>
        <w:fldChar w:fldCharType="separate"/>
      </w:r>
      <w:r>
        <w:rPr>
          <w:rStyle w:val="34"/>
          <w:rFonts w:ascii="宋体" w:hAnsi="宋体" w:eastAsia="宋体" w:cs="仿宋"/>
        </w:rPr>
        <w:t>（一）國際運輸項下資金匯出</w:t>
      </w:r>
      <w:r>
        <w:rPr>
          <w:rFonts w:ascii="宋体" w:hAnsi="宋体"/>
        </w:rPr>
        <w:tab/>
      </w:r>
      <w:r>
        <w:rPr>
          <w:rFonts w:ascii="宋体" w:hAnsi="宋体"/>
        </w:rPr>
        <w:fldChar w:fldCharType="begin"/>
      </w:r>
      <w:r>
        <w:rPr>
          <w:rFonts w:ascii="宋体" w:hAnsi="宋体"/>
        </w:rPr>
        <w:instrText xml:space="preserve"> PAGEREF _Toc65325577 \h </w:instrText>
      </w:r>
      <w:r>
        <w:rPr>
          <w:rFonts w:ascii="宋体" w:hAnsi="宋体"/>
        </w:rPr>
        <w:fldChar w:fldCharType="separate"/>
      </w:r>
      <w:r>
        <w:rPr>
          <w:rFonts w:ascii="宋体" w:hAnsi="宋体" w:eastAsia="宋体"/>
        </w:rPr>
        <w:t>11</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"_Toc65325578" </w:instrText>
      </w:r>
      <w:r>
        <w:fldChar w:fldCharType="separate"/>
      </w:r>
      <w:r>
        <w:rPr>
          <w:rStyle w:val="34"/>
          <w:rFonts w:ascii="宋体" w:hAnsi="宋体" w:eastAsia="宋体" w:cs="仿宋"/>
        </w:rPr>
        <w:t>（二）對外勞務合作或對外承包工程項下資金匯出</w:t>
      </w:r>
      <w:r>
        <w:rPr>
          <w:rFonts w:ascii="宋体" w:hAnsi="宋体"/>
        </w:rPr>
        <w:tab/>
      </w:r>
      <w:r>
        <w:rPr>
          <w:rFonts w:ascii="宋体" w:hAnsi="宋体"/>
        </w:rPr>
        <w:fldChar w:fldCharType="begin"/>
      </w:r>
      <w:r>
        <w:rPr>
          <w:rFonts w:ascii="宋体" w:hAnsi="宋体"/>
        </w:rPr>
        <w:instrText xml:space="preserve"> PAGEREF _Toc65325578 \h </w:instrText>
      </w:r>
      <w:r>
        <w:rPr>
          <w:rFonts w:ascii="宋体" w:hAnsi="宋体"/>
        </w:rPr>
        <w:fldChar w:fldCharType="separate"/>
      </w:r>
      <w:r>
        <w:rPr>
          <w:rFonts w:ascii="宋体" w:hAnsi="宋体" w:eastAsia="宋体"/>
        </w:rPr>
        <w:t>14</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"_Toc65325579" </w:instrText>
      </w:r>
      <w:r>
        <w:fldChar w:fldCharType="separate"/>
      </w:r>
      <w:r>
        <w:rPr>
          <w:rStyle w:val="34"/>
          <w:rFonts w:ascii="宋体" w:hAnsi="宋体" w:eastAsia="宋体" w:cs="仿宋"/>
        </w:rPr>
        <w:t>（三）對外承包工程簽訂合同之前服務貿易項下前期費用對外支付資金匯出</w:t>
      </w:r>
      <w:r>
        <w:rPr>
          <w:rFonts w:ascii="宋体" w:hAnsi="宋体"/>
        </w:rPr>
        <w:tab/>
      </w:r>
      <w:r>
        <w:rPr>
          <w:rFonts w:ascii="宋体" w:hAnsi="宋体"/>
        </w:rPr>
        <w:fldChar w:fldCharType="begin"/>
      </w:r>
      <w:r>
        <w:rPr>
          <w:rFonts w:ascii="宋体" w:hAnsi="宋体"/>
        </w:rPr>
        <w:instrText xml:space="preserve"> PAGEREF _Toc65325579 \h </w:instrText>
      </w:r>
      <w:r>
        <w:rPr>
          <w:rFonts w:ascii="宋体" w:hAnsi="宋体"/>
        </w:rPr>
        <w:fldChar w:fldCharType="separate"/>
      </w:r>
      <w:r>
        <w:rPr>
          <w:rFonts w:ascii="宋体" w:hAnsi="宋体" w:eastAsia="宋体"/>
        </w:rPr>
        <w:t>17</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"_Toc65325580" </w:instrText>
      </w:r>
      <w:r>
        <w:fldChar w:fldCharType="separate"/>
      </w:r>
      <w:r>
        <w:rPr>
          <w:rStyle w:val="34"/>
          <w:rFonts w:ascii="宋体" w:hAnsi="宋体" w:eastAsia="宋体" w:cs="仿宋"/>
        </w:rPr>
        <w:t>（四）技術進口項下資金匯出</w:t>
      </w:r>
      <w:r>
        <w:rPr>
          <w:rFonts w:ascii="宋体" w:hAnsi="宋体"/>
        </w:rPr>
        <w:tab/>
      </w:r>
      <w:r>
        <w:rPr>
          <w:rFonts w:ascii="宋体" w:hAnsi="宋体"/>
        </w:rPr>
        <w:fldChar w:fldCharType="begin"/>
      </w:r>
      <w:r>
        <w:rPr>
          <w:rFonts w:ascii="宋体" w:hAnsi="宋体"/>
        </w:rPr>
        <w:instrText xml:space="preserve"> PAGEREF _Toc65325580 \h </w:instrText>
      </w:r>
      <w:r>
        <w:rPr>
          <w:rFonts w:ascii="宋体" w:hAnsi="宋体"/>
        </w:rPr>
        <w:fldChar w:fldCharType="separate"/>
      </w:r>
      <w:r>
        <w:rPr>
          <w:rFonts w:ascii="宋体" w:hAnsi="宋体" w:eastAsia="宋体"/>
        </w:rPr>
        <w:t>19</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"_Toc65325581" </w:instrText>
      </w:r>
      <w:r>
        <w:fldChar w:fldCharType="separate"/>
      </w:r>
      <w:r>
        <w:rPr>
          <w:rStyle w:val="34"/>
          <w:rFonts w:ascii="宋体" w:hAnsi="宋体" w:eastAsia="宋体" w:cs="仿宋"/>
        </w:rPr>
        <w:t>（五）代表處（辦事處）辦公經費項下資金匯出</w:t>
      </w:r>
      <w:r>
        <w:rPr>
          <w:rFonts w:ascii="宋体" w:hAnsi="宋体"/>
        </w:rPr>
        <w:tab/>
      </w:r>
      <w:r>
        <w:rPr>
          <w:rFonts w:ascii="宋体" w:hAnsi="宋体"/>
        </w:rPr>
        <w:fldChar w:fldCharType="begin"/>
      </w:r>
      <w:r>
        <w:rPr>
          <w:rFonts w:ascii="宋体" w:hAnsi="宋体"/>
        </w:rPr>
        <w:instrText xml:space="preserve"> PAGEREF _Toc65325581 \h </w:instrText>
      </w:r>
      <w:r>
        <w:rPr>
          <w:rFonts w:ascii="宋体" w:hAnsi="宋体"/>
        </w:rPr>
        <w:fldChar w:fldCharType="separate"/>
      </w:r>
      <w:r>
        <w:rPr>
          <w:rFonts w:ascii="宋体" w:hAnsi="宋体" w:eastAsia="宋体"/>
        </w:rPr>
        <w:t>21</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"_Toc65325582" </w:instrText>
      </w:r>
      <w:r>
        <w:fldChar w:fldCharType="separate"/>
      </w:r>
      <w:r>
        <w:rPr>
          <w:rStyle w:val="34"/>
          <w:rFonts w:ascii="宋体" w:hAnsi="宋体" w:eastAsia="宋体" w:cs="仿宋"/>
        </w:rPr>
        <w:t>（六）國際賠償款項下資金匯出</w:t>
      </w:r>
      <w:r>
        <w:rPr>
          <w:rFonts w:ascii="宋体" w:hAnsi="宋体"/>
        </w:rPr>
        <w:tab/>
      </w:r>
      <w:r>
        <w:rPr>
          <w:rFonts w:ascii="宋体" w:hAnsi="宋体"/>
        </w:rPr>
        <w:fldChar w:fldCharType="begin"/>
      </w:r>
      <w:r>
        <w:rPr>
          <w:rFonts w:ascii="宋体" w:hAnsi="宋体"/>
        </w:rPr>
        <w:instrText xml:space="preserve"> PAGEREF _Toc65325582 \h </w:instrText>
      </w:r>
      <w:r>
        <w:rPr>
          <w:rFonts w:ascii="宋体" w:hAnsi="宋体"/>
        </w:rPr>
        <w:fldChar w:fldCharType="separate"/>
      </w:r>
      <w:r>
        <w:rPr>
          <w:rFonts w:ascii="宋体" w:hAnsi="宋体" w:eastAsia="宋体"/>
        </w:rPr>
        <w:t>23</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"_Toc65325583" </w:instrText>
      </w:r>
      <w:r>
        <w:fldChar w:fldCharType="separate"/>
      </w:r>
      <w:r>
        <w:rPr>
          <w:rStyle w:val="34"/>
          <w:rFonts w:ascii="宋体" w:hAnsi="宋体" w:eastAsia="宋体" w:cs="仿宋"/>
        </w:rPr>
        <w:t>（七）具有關聯關係的境內外機構代墊或分攤的服務貿易費用項下資金匯出</w:t>
      </w:r>
      <w:r>
        <w:rPr>
          <w:rFonts w:ascii="宋体" w:hAnsi="宋体"/>
        </w:rPr>
        <w:tab/>
      </w:r>
      <w:r>
        <w:rPr>
          <w:rFonts w:ascii="宋体" w:hAnsi="宋体"/>
        </w:rPr>
        <w:fldChar w:fldCharType="begin"/>
      </w:r>
      <w:r>
        <w:rPr>
          <w:rFonts w:ascii="宋体" w:hAnsi="宋体"/>
        </w:rPr>
        <w:instrText xml:space="preserve"> PAGEREF _Toc65325583 \h </w:instrText>
      </w:r>
      <w:r>
        <w:rPr>
          <w:rFonts w:ascii="宋体" w:hAnsi="宋体"/>
        </w:rPr>
        <w:fldChar w:fldCharType="separate"/>
      </w:r>
      <w:r>
        <w:rPr>
          <w:rFonts w:ascii="宋体" w:hAnsi="宋体" w:eastAsia="宋体"/>
        </w:rPr>
        <w:t>25</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"_Toc65325584" </w:instrText>
      </w:r>
      <w:r>
        <w:fldChar w:fldCharType="separate"/>
      </w:r>
      <w:r>
        <w:rPr>
          <w:rStyle w:val="34"/>
          <w:rFonts w:ascii="宋体" w:hAnsi="宋体" w:eastAsia="宋体" w:cs="仿宋"/>
        </w:rPr>
        <w:t>（八）服務貿易項下退款資金匯出</w:t>
      </w:r>
      <w:r>
        <w:rPr>
          <w:rFonts w:ascii="宋体" w:hAnsi="宋体"/>
        </w:rPr>
        <w:tab/>
      </w:r>
      <w:r>
        <w:rPr>
          <w:rFonts w:ascii="宋体" w:hAnsi="宋体"/>
        </w:rPr>
        <w:fldChar w:fldCharType="begin"/>
      </w:r>
      <w:r>
        <w:rPr>
          <w:rFonts w:ascii="宋体" w:hAnsi="宋体"/>
        </w:rPr>
        <w:instrText xml:space="preserve"> PAGEREF _Toc65325584 \h </w:instrText>
      </w:r>
      <w:r>
        <w:rPr>
          <w:rFonts w:ascii="宋体" w:hAnsi="宋体"/>
        </w:rPr>
        <w:fldChar w:fldCharType="separate"/>
      </w:r>
      <w:r>
        <w:rPr>
          <w:rFonts w:ascii="宋体" w:hAnsi="宋体" w:eastAsia="宋体"/>
        </w:rPr>
        <w:t>27</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"_Toc65325585" </w:instrText>
      </w:r>
      <w:r>
        <w:fldChar w:fldCharType="separate"/>
      </w:r>
      <w:r>
        <w:rPr>
          <w:rStyle w:val="34"/>
          <w:rFonts w:ascii="宋体" w:hAnsi="宋体" w:eastAsia="宋体" w:cs="仿宋"/>
        </w:rPr>
        <w:t>（九）其他服務貿易項下資金匯出</w:t>
      </w:r>
      <w:r>
        <w:rPr>
          <w:rFonts w:ascii="宋体" w:hAnsi="宋体"/>
        </w:rPr>
        <w:tab/>
      </w:r>
      <w:r>
        <w:rPr>
          <w:rFonts w:ascii="宋体" w:hAnsi="宋体"/>
        </w:rPr>
        <w:fldChar w:fldCharType="begin"/>
      </w:r>
      <w:r>
        <w:rPr>
          <w:rFonts w:ascii="宋体" w:hAnsi="宋体"/>
        </w:rPr>
        <w:instrText xml:space="preserve"> PAGEREF _Toc65325585 \h </w:instrText>
      </w:r>
      <w:r>
        <w:rPr>
          <w:rFonts w:ascii="宋体" w:hAnsi="宋体"/>
        </w:rPr>
        <w:fldChar w:fldCharType="separate"/>
      </w:r>
      <w:r>
        <w:rPr>
          <w:rFonts w:ascii="宋体" w:hAnsi="宋体" w:eastAsia="宋体"/>
        </w:rPr>
        <w:t>28</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"_Toc65325586" </w:instrText>
      </w:r>
      <w:r>
        <w:fldChar w:fldCharType="separate"/>
      </w:r>
      <w:r>
        <w:rPr>
          <w:rStyle w:val="34"/>
          <w:rFonts w:ascii="宋体" w:hAnsi="宋体" w:eastAsia="宋体" w:cs="仿宋"/>
        </w:rPr>
        <w:t>三、外商直接投資收益匯出</w:t>
      </w:r>
      <w:r>
        <w:rPr>
          <w:rFonts w:ascii="宋体" w:hAnsi="宋体"/>
        </w:rPr>
        <w:tab/>
      </w:r>
      <w:r>
        <w:rPr>
          <w:rFonts w:ascii="宋体" w:hAnsi="宋体"/>
        </w:rPr>
        <w:fldChar w:fldCharType="begin"/>
      </w:r>
      <w:r>
        <w:rPr>
          <w:rFonts w:ascii="宋体" w:hAnsi="宋体"/>
        </w:rPr>
        <w:instrText xml:space="preserve"> PAGEREF _Toc65325586 \h </w:instrText>
      </w:r>
      <w:r>
        <w:rPr>
          <w:rFonts w:ascii="宋体" w:hAnsi="宋体"/>
        </w:rPr>
        <w:fldChar w:fldCharType="separate"/>
      </w:r>
      <w:r>
        <w:rPr>
          <w:rFonts w:ascii="宋体" w:hAnsi="宋体" w:eastAsia="宋体"/>
        </w:rPr>
        <w:t>30</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"_Toc65325587" </w:instrText>
      </w:r>
      <w:r>
        <w:fldChar w:fldCharType="separate"/>
      </w:r>
      <w:r>
        <w:rPr>
          <w:rStyle w:val="34"/>
          <w:rFonts w:ascii="宋体" w:hAnsi="宋体" w:eastAsia="宋体" w:cs="仿宋"/>
        </w:rPr>
        <w:t>四、捐贈和無償援助匯出</w:t>
      </w:r>
      <w:r>
        <w:rPr>
          <w:rFonts w:ascii="宋体" w:hAnsi="宋体"/>
        </w:rPr>
        <w:tab/>
      </w:r>
      <w:r>
        <w:rPr>
          <w:rFonts w:ascii="宋体" w:hAnsi="宋体"/>
        </w:rPr>
        <w:fldChar w:fldCharType="begin"/>
      </w:r>
      <w:r>
        <w:rPr>
          <w:rFonts w:ascii="宋体" w:hAnsi="宋体"/>
        </w:rPr>
        <w:instrText xml:space="preserve"> PAGEREF _Toc65325587 \h </w:instrText>
      </w:r>
      <w:r>
        <w:rPr>
          <w:rFonts w:ascii="宋体" w:hAnsi="宋体"/>
        </w:rPr>
        <w:fldChar w:fldCharType="separate"/>
      </w:r>
      <w:r>
        <w:rPr>
          <w:rFonts w:ascii="宋体" w:hAnsi="宋体" w:eastAsia="宋体"/>
        </w:rPr>
        <w:t>33</w:t>
      </w:r>
      <w:r>
        <w:rPr>
          <w:rFonts w:ascii="宋体" w:hAnsi="宋体"/>
        </w:rPr>
        <w:fldChar w:fldCharType="end"/>
      </w:r>
      <w:r>
        <w:rPr>
          <w:rFonts w:ascii="宋体" w:hAnsi="宋体"/>
        </w:rPr>
        <w:fldChar w:fldCharType="end"/>
      </w:r>
    </w:p>
    <w:p>
      <w:pPr>
        <w:pStyle w:val="18"/>
        <w:tabs>
          <w:tab w:val="right" w:leader="dot" w:pos="8296"/>
        </w:tabs>
        <w:rPr>
          <w:rFonts w:ascii="宋体" w:hAnsi="宋体" w:cs="黑体"/>
          <w:szCs w:val="22"/>
        </w:rPr>
      </w:pPr>
      <w:r>
        <w:fldChar w:fldCharType="begin"/>
      </w:r>
      <w:r>
        <w:instrText xml:space="preserve"> HYPERLINK \l "_Toc65325588" </w:instrText>
      </w:r>
      <w:r>
        <w:fldChar w:fldCharType="separate"/>
      </w:r>
      <w:r>
        <w:rPr>
          <w:rStyle w:val="34"/>
          <w:rFonts w:ascii="宋体" w:hAnsi="宋体" w:eastAsia="宋体"/>
        </w:rPr>
        <w:t>第三部分 服務貿易及其他經常匯入業務具體審核規範</w:t>
      </w:r>
      <w:r>
        <w:rPr>
          <w:rFonts w:ascii="宋体" w:hAnsi="宋体"/>
        </w:rPr>
        <w:tab/>
      </w:r>
      <w:r>
        <w:rPr>
          <w:rFonts w:ascii="宋体" w:hAnsi="宋体"/>
        </w:rPr>
        <w:fldChar w:fldCharType="begin"/>
      </w:r>
      <w:r>
        <w:rPr>
          <w:rFonts w:ascii="宋体" w:hAnsi="宋体"/>
        </w:rPr>
        <w:instrText xml:space="preserve"> PAGEREF _Toc65325588 \h </w:instrText>
      </w:r>
      <w:r>
        <w:rPr>
          <w:rFonts w:ascii="宋体" w:hAnsi="宋体"/>
        </w:rPr>
        <w:fldChar w:fldCharType="separate"/>
      </w:r>
      <w:r>
        <w:rPr>
          <w:rFonts w:ascii="宋体" w:hAnsi="宋体" w:eastAsia="宋体"/>
        </w:rPr>
        <w:t>36</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"_Toc65325589" </w:instrText>
      </w:r>
      <w:r>
        <w:fldChar w:fldCharType="separate"/>
      </w:r>
      <w:r>
        <w:rPr>
          <w:rStyle w:val="34"/>
          <w:rFonts w:ascii="宋体" w:hAnsi="宋体" w:eastAsia="宋体" w:cs="仿宋"/>
        </w:rPr>
        <w:t>一、單筆40萬元（含）以下的服務貿易跨境人民幣匯入</w:t>
      </w:r>
      <w:r>
        <w:rPr>
          <w:rFonts w:ascii="宋体" w:hAnsi="宋体"/>
        </w:rPr>
        <w:tab/>
      </w:r>
      <w:r>
        <w:rPr>
          <w:rFonts w:ascii="宋体" w:hAnsi="宋体"/>
        </w:rPr>
        <w:fldChar w:fldCharType="begin"/>
      </w:r>
      <w:r>
        <w:rPr>
          <w:rFonts w:ascii="宋体" w:hAnsi="宋体"/>
        </w:rPr>
        <w:instrText xml:space="preserve"> PAGEREF _Toc65325589 \h </w:instrText>
      </w:r>
      <w:r>
        <w:rPr>
          <w:rFonts w:ascii="宋体" w:hAnsi="宋体"/>
        </w:rPr>
        <w:fldChar w:fldCharType="separate"/>
      </w:r>
      <w:r>
        <w:rPr>
          <w:rFonts w:ascii="宋体" w:hAnsi="宋体" w:eastAsia="宋体"/>
        </w:rPr>
        <w:t>36</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"_Toc65325590" </w:instrText>
      </w:r>
      <w:r>
        <w:fldChar w:fldCharType="separate"/>
      </w:r>
      <w:r>
        <w:rPr>
          <w:rStyle w:val="34"/>
          <w:rFonts w:ascii="宋体" w:hAnsi="宋体" w:eastAsia="宋体" w:cs="仿宋"/>
        </w:rPr>
        <w:t>二、單筆40萬元（不含）以上的服務貿易跨境人民幣匯入</w:t>
      </w:r>
      <w:r>
        <w:rPr>
          <w:rFonts w:ascii="宋体" w:hAnsi="宋体"/>
        </w:rPr>
        <w:tab/>
      </w:r>
      <w:r>
        <w:rPr>
          <w:rFonts w:ascii="宋体" w:hAnsi="宋体"/>
        </w:rPr>
        <w:fldChar w:fldCharType="begin"/>
      </w:r>
      <w:r>
        <w:rPr>
          <w:rFonts w:ascii="宋体" w:hAnsi="宋体"/>
        </w:rPr>
        <w:instrText xml:space="preserve"> PAGEREF _Toc65325590 \h </w:instrText>
      </w:r>
      <w:r>
        <w:rPr>
          <w:rFonts w:ascii="宋体" w:hAnsi="宋体"/>
        </w:rPr>
        <w:fldChar w:fldCharType="separate"/>
      </w:r>
      <w:r>
        <w:rPr>
          <w:rFonts w:ascii="宋体" w:hAnsi="宋体" w:eastAsia="宋体"/>
        </w:rPr>
        <w:t>38</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"_Toc65325591" </w:instrText>
      </w:r>
      <w:r>
        <w:fldChar w:fldCharType="separate"/>
      </w:r>
      <w:r>
        <w:rPr>
          <w:rStyle w:val="34"/>
          <w:rFonts w:ascii="宋体" w:hAnsi="宋体" w:eastAsia="宋体" w:cs="仿宋"/>
        </w:rPr>
        <w:t>（一）國際運輸項下資金匯入</w:t>
      </w:r>
      <w:r>
        <w:rPr>
          <w:rFonts w:ascii="宋体" w:hAnsi="宋体"/>
        </w:rPr>
        <w:tab/>
      </w:r>
      <w:r>
        <w:rPr>
          <w:rFonts w:ascii="宋体" w:hAnsi="宋体"/>
        </w:rPr>
        <w:fldChar w:fldCharType="begin"/>
      </w:r>
      <w:r>
        <w:rPr>
          <w:rFonts w:ascii="宋体" w:hAnsi="宋体"/>
        </w:rPr>
        <w:instrText xml:space="preserve"> PAGEREF _Toc65325591 \h </w:instrText>
      </w:r>
      <w:r>
        <w:rPr>
          <w:rFonts w:ascii="宋体" w:hAnsi="宋体"/>
        </w:rPr>
        <w:fldChar w:fldCharType="separate"/>
      </w:r>
      <w:r>
        <w:rPr>
          <w:rFonts w:ascii="宋体" w:hAnsi="宋体" w:eastAsia="宋体"/>
        </w:rPr>
        <w:t>38</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"_Toc65325592" </w:instrText>
      </w:r>
      <w:r>
        <w:fldChar w:fldCharType="separate"/>
      </w:r>
      <w:r>
        <w:rPr>
          <w:rStyle w:val="34"/>
          <w:rFonts w:ascii="宋体" w:hAnsi="宋体" w:eastAsia="宋体" w:cs="仿宋"/>
        </w:rPr>
        <w:t>（二）對外勞務合作或對外承包工程項下資金匯入</w:t>
      </w:r>
      <w:r>
        <w:rPr>
          <w:rFonts w:ascii="宋体" w:hAnsi="宋体"/>
        </w:rPr>
        <w:tab/>
      </w:r>
      <w:r>
        <w:rPr>
          <w:rFonts w:ascii="宋体" w:hAnsi="宋体"/>
        </w:rPr>
        <w:fldChar w:fldCharType="begin"/>
      </w:r>
      <w:r>
        <w:rPr>
          <w:rFonts w:ascii="宋体" w:hAnsi="宋体"/>
        </w:rPr>
        <w:instrText xml:space="preserve"> PAGEREF _Toc65325592 \h </w:instrText>
      </w:r>
      <w:r>
        <w:rPr>
          <w:rFonts w:ascii="宋体" w:hAnsi="宋体"/>
        </w:rPr>
        <w:fldChar w:fldCharType="separate"/>
      </w:r>
      <w:r>
        <w:rPr>
          <w:rFonts w:ascii="宋体" w:hAnsi="宋体" w:eastAsia="宋体"/>
        </w:rPr>
        <w:t>41</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"_Toc65325593" </w:instrText>
      </w:r>
      <w:r>
        <w:fldChar w:fldCharType="separate"/>
      </w:r>
      <w:r>
        <w:rPr>
          <w:rStyle w:val="34"/>
          <w:rFonts w:ascii="宋体" w:hAnsi="宋体" w:eastAsia="宋体" w:cs="仿宋"/>
        </w:rPr>
        <w:t>（三）境外來華承包工程簽訂合同之前服務貿易項下前期費用資金匯入</w:t>
      </w:r>
      <w:r>
        <w:rPr>
          <w:rFonts w:ascii="宋体" w:hAnsi="宋体"/>
        </w:rPr>
        <w:tab/>
      </w:r>
      <w:r>
        <w:rPr>
          <w:rFonts w:ascii="宋体" w:hAnsi="宋体"/>
        </w:rPr>
        <w:fldChar w:fldCharType="begin"/>
      </w:r>
      <w:r>
        <w:rPr>
          <w:rFonts w:ascii="宋体" w:hAnsi="宋体"/>
        </w:rPr>
        <w:instrText xml:space="preserve"> PAGEREF _Toc65325593 \h </w:instrText>
      </w:r>
      <w:r>
        <w:rPr>
          <w:rFonts w:ascii="宋体" w:hAnsi="宋体"/>
        </w:rPr>
        <w:fldChar w:fldCharType="separate"/>
      </w:r>
      <w:r>
        <w:rPr>
          <w:rFonts w:ascii="宋体" w:hAnsi="宋体" w:eastAsia="宋体"/>
        </w:rPr>
        <w:t>43</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"_Toc65325594" </w:instrText>
      </w:r>
      <w:r>
        <w:fldChar w:fldCharType="separate"/>
      </w:r>
      <w:r>
        <w:rPr>
          <w:rStyle w:val="34"/>
          <w:rFonts w:ascii="宋体" w:hAnsi="宋体" w:eastAsia="宋体" w:cs="仿宋"/>
        </w:rPr>
        <w:t>（四）技術出口項下資金匯入</w:t>
      </w:r>
      <w:r>
        <w:rPr>
          <w:rFonts w:ascii="宋体" w:hAnsi="宋体"/>
        </w:rPr>
        <w:tab/>
      </w:r>
      <w:r>
        <w:rPr>
          <w:rFonts w:ascii="宋体" w:hAnsi="宋体"/>
        </w:rPr>
        <w:fldChar w:fldCharType="begin"/>
      </w:r>
      <w:r>
        <w:rPr>
          <w:rFonts w:ascii="宋体" w:hAnsi="宋体"/>
        </w:rPr>
        <w:instrText xml:space="preserve"> PAGEREF _Toc65325594 \h </w:instrText>
      </w:r>
      <w:r>
        <w:rPr>
          <w:rFonts w:ascii="宋体" w:hAnsi="宋体"/>
        </w:rPr>
        <w:fldChar w:fldCharType="separate"/>
      </w:r>
      <w:r>
        <w:rPr>
          <w:rFonts w:ascii="宋体" w:hAnsi="宋体" w:eastAsia="宋体"/>
        </w:rPr>
        <w:t>45</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"_Toc65325595" </w:instrText>
      </w:r>
      <w:r>
        <w:fldChar w:fldCharType="separate"/>
      </w:r>
      <w:r>
        <w:rPr>
          <w:rStyle w:val="34"/>
          <w:rFonts w:ascii="宋体" w:hAnsi="宋体" w:eastAsia="宋体" w:cs="仿宋"/>
        </w:rPr>
        <w:t>（五）代表處（辦事處）辦公經費項下資金匯入</w:t>
      </w:r>
      <w:r>
        <w:rPr>
          <w:rFonts w:ascii="宋体" w:hAnsi="宋体"/>
        </w:rPr>
        <w:tab/>
      </w:r>
      <w:r>
        <w:rPr>
          <w:rFonts w:ascii="宋体" w:hAnsi="宋体"/>
        </w:rPr>
        <w:fldChar w:fldCharType="begin"/>
      </w:r>
      <w:r>
        <w:rPr>
          <w:rFonts w:ascii="宋体" w:hAnsi="宋体"/>
        </w:rPr>
        <w:instrText xml:space="preserve"> PAGEREF _Toc65325595 \h </w:instrText>
      </w:r>
      <w:r>
        <w:rPr>
          <w:rFonts w:ascii="宋体" w:hAnsi="宋体"/>
        </w:rPr>
        <w:fldChar w:fldCharType="separate"/>
      </w:r>
      <w:r>
        <w:rPr>
          <w:rFonts w:ascii="宋体" w:hAnsi="宋体" w:eastAsia="宋体"/>
        </w:rPr>
        <w:t>46</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"_Toc65325596" </w:instrText>
      </w:r>
      <w:r>
        <w:fldChar w:fldCharType="separate"/>
      </w:r>
      <w:r>
        <w:rPr>
          <w:rStyle w:val="34"/>
          <w:rFonts w:ascii="宋体" w:hAnsi="宋体" w:eastAsia="宋体" w:cs="仿宋"/>
        </w:rPr>
        <w:t>（六）國際賠償款項下資金匯入</w:t>
      </w:r>
      <w:r>
        <w:rPr>
          <w:rFonts w:ascii="宋体" w:hAnsi="宋体"/>
        </w:rPr>
        <w:tab/>
      </w:r>
      <w:r>
        <w:rPr>
          <w:rFonts w:ascii="宋体" w:hAnsi="宋体"/>
        </w:rPr>
        <w:fldChar w:fldCharType="begin"/>
      </w:r>
      <w:r>
        <w:rPr>
          <w:rFonts w:ascii="宋体" w:hAnsi="宋体"/>
        </w:rPr>
        <w:instrText xml:space="preserve"> PAGEREF _Toc65325596 \h </w:instrText>
      </w:r>
      <w:r>
        <w:rPr>
          <w:rFonts w:ascii="宋体" w:hAnsi="宋体"/>
        </w:rPr>
        <w:fldChar w:fldCharType="separate"/>
      </w:r>
      <w:r>
        <w:rPr>
          <w:rFonts w:ascii="宋体" w:hAnsi="宋体" w:eastAsia="宋体"/>
        </w:rPr>
        <w:t>48</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"_Toc65325597" </w:instrText>
      </w:r>
      <w:r>
        <w:fldChar w:fldCharType="separate"/>
      </w:r>
      <w:r>
        <w:rPr>
          <w:rStyle w:val="34"/>
          <w:rFonts w:ascii="宋体" w:hAnsi="宋体" w:eastAsia="宋体" w:cs="仿宋"/>
        </w:rPr>
        <w:t>（七）具有關聯關係的境內外機構代墊或分攤的服務貿易費用項下資金匯入</w:t>
      </w:r>
      <w:r>
        <w:rPr>
          <w:rFonts w:ascii="宋体" w:hAnsi="宋体"/>
        </w:rPr>
        <w:tab/>
      </w:r>
      <w:r>
        <w:rPr>
          <w:rFonts w:ascii="宋体" w:hAnsi="宋体"/>
        </w:rPr>
        <w:fldChar w:fldCharType="begin"/>
      </w:r>
      <w:r>
        <w:rPr>
          <w:rFonts w:ascii="宋体" w:hAnsi="宋体"/>
        </w:rPr>
        <w:instrText xml:space="preserve"> PAGEREF _Toc65325597 \h </w:instrText>
      </w:r>
      <w:r>
        <w:rPr>
          <w:rFonts w:ascii="宋体" w:hAnsi="宋体"/>
        </w:rPr>
        <w:fldChar w:fldCharType="separate"/>
      </w:r>
      <w:r>
        <w:rPr>
          <w:rFonts w:ascii="宋体" w:hAnsi="宋体" w:eastAsia="宋体"/>
        </w:rPr>
        <w:t>50</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"_Toc65325598" </w:instrText>
      </w:r>
      <w:r>
        <w:fldChar w:fldCharType="separate"/>
      </w:r>
      <w:r>
        <w:rPr>
          <w:rStyle w:val="34"/>
          <w:rFonts w:ascii="宋体" w:hAnsi="宋体" w:eastAsia="宋体" w:cs="仿宋"/>
        </w:rPr>
        <w:t>（八）服務貿易項下退款資金匯入</w:t>
      </w:r>
      <w:r>
        <w:rPr>
          <w:rFonts w:ascii="宋体" w:hAnsi="宋体"/>
        </w:rPr>
        <w:tab/>
      </w:r>
      <w:r>
        <w:rPr>
          <w:rFonts w:ascii="宋体" w:hAnsi="宋体"/>
        </w:rPr>
        <w:fldChar w:fldCharType="begin"/>
      </w:r>
      <w:r>
        <w:rPr>
          <w:rFonts w:ascii="宋体" w:hAnsi="宋体"/>
        </w:rPr>
        <w:instrText xml:space="preserve"> PAGEREF _Toc65325598 \h </w:instrText>
      </w:r>
      <w:r>
        <w:rPr>
          <w:rFonts w:ascii="宋体" w:hAnsi="宋体"/>
        </w:rPr>
        <w:fldChar w:fldCharType="separate"/>
      </w:r>
      <w:r>
        <w:rPr>
          <w:rFonts w:ascii="宋体" w:hAnsi="宋体" w:eastAsia="宋体"/>
        </w:rPr>
        <w:t>51</w:t>
      </w:r>
      <w:r>
        <w:rPr>
          <w:rFonts w:ascii="宋体" w:hAnsi="宋体"/>
        </w:rPr>
        <w:fldChar w:fldCharType="end"/>
      </w:r>
      <w:r>
        <w:rPr>
          <w:rFonts w:ascii="宋体" w:hAnsi="宋体"/>
        </w:rPr>
        <w:fldChar w:fldCharType="end"/>
      </w:r>
    </w:p>
    <w:p>
      <w:pPr>
        <w:pStyle w:val="12"/>
        <w:tabs>
          <w:tab w:val="right" w:leader="dot" w:pos="8296"/>
        </w:tabs>
        <w:rPr>
          <w:rFonts w:ascii="宋体" w:hAnsi="宋体" w:cs="黑体"/>
          <w:szCs w:val="22"/>
        </w:rPr>
      </w:pPr>
      <w:r>
        <w:fldChar w:fldCharType="begin"/>
      </w:r>
      <w:r>
        <w:instrText xml:space="preserve"> HYPERLINK \l "_Toc65325599" </w:instrText>
      </w:r>
      <w:r>
        <w:fldChar w:fldCharType="separate"/>
      </w:r>
      <w:r>
        <w:rPr>
          <w:rStyle w:val="34"/>
          <w:rFonts w:ascii="宋体" w:hAnsi="宋体" w:eastAsia="宋体" w:cs="仿宋"/>
        </w:rPr>
        <w:t>（九）其他服務貿易項下資金匯入</w:t>
      </w:r>
      <w:r>
        <w:rPr>
          <w:rFonts w:ascii="宋体" w:hAnsi="宋体"/>
        </w:rPr>
        <w:tab/>
      </w:r>
      <w:r>
        <w:rPr>
          <w:rFonts w:ascii="宋体" w:hAnsi="宋体"/>
        </w:rPr>
        <w:fldChar w:fldCharType="begin"/>
      </w:r>
      <w:r>
        <w:rPr>
          <w:rFonts w:ascii="宋体" w:hAnsi="宋体"/>
        </w:rPr>
        <w:instrText xml:space="preserve"> PAGEREF _Toc65325599 \h </w:instrText>
      </w:r>
      <w:r>
        <w:rPr>
          <w:rFonts w:ascii="宋体" w:hAnsi="宋体"/>
        </w:rPr>
        <w:fldChar w:fldCharType="separate"/>
      </w:r>
      <w:r>
        <w:rPr>
          <w:rFonts w:ascii="宋体" w:hAnsi="宋体" w:eastAsia="宋体"/>
        </w:rPr>
        <w:t>53</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"_Toc65325600" </w:instrText>
      </w:r>
      <w:r>
        <w:fldChar w:fldCharType="separate"/>
      </w:r>
      <w:r>
        <w:rPr>
          <w:rStyle w:val="34"/>
          <w:rFonts w:ascii="宋体" w:hAnsi="宋体" w:eastAsia="宋体" w:cs="仿宋"/>
        </w:rPr>
        <w:t>三、境外直接投資收益匯入</w:t>
      </w:r>
      <w:r>
        <w:rPr>
          <w:rFonts w:ascii="宋体" w:hAnsi="宋体"/>
        </w:rPr>
        <w:tab/>
      </w:r>
      <w:r>
        <w:rPr>
          <w:rFonts w:ascii="宋体" w:hAnsi="宋体"/>
        </w:rPr>
        <w:fldChar w:fldCharType="begin"/>
      </w:r>
      <w:r>
        <w:rPr>
          <w:rFonts w:ascii="宋体" w:hAnsi="宋体"/>
        </w:rPr>
        <w:instrText xml:space="preserve"> PAGEREF _Toc65325600 \h </w:instrText>
      </w:r>
      <w:r>
        <w:rPr>
          <w:rFonts w:ascii="宋体" w:hAnsi="宋体"/>
        </w:rPr>
        <w:fldChar w:fldCharType="separate"/>
      </w:r>
      <w:r>
        <w:rPr>
          <w:rFonts w:ascii="宋体" w:hAnsi="宋体" w:eastAsia="宋体"/>
        </w:rPr>
        <w:t>55</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"_Toc65325601" </w:instrText>
      </w:r>
      <w:r>
        <w:fldChar w:fldCharType="separate"/>
      </w:r>
      <w:r>
        <w:rPr>
          <w:rStyle w:val="34"/>
          <w:rFonts w:ascii="宋体" w:hAnsi="宋体" w:eastAsia="宋体" w:cs="仿宋"/>
        </w:rPr>
        <w:t>四、捐贈和無償援助匯入</w:t>
      </w:r>
      <w:r>
        <w:rPr>
          <w:rFonts w:ascii="宋体" w:hAnsi="宋体"/>
        </w:rPr>
        <w:tab/>
      </w:r>
      <w:r>
        <w:rPr>
          <w:rFonts w:ascii="宋体" w:hAnsi="宋体"/>
        </w:rPr>
        <w:fldChar w:fldCharType="begin"/>
      </w:r>
      <w:r>
        <w:rPr>
          <w:rFonts w:ascii="宋体" w:hAnsi="宋体"/>
        </w:rPr>
        <w:instrText xml:space="preserve"> PAGEREF _Toc65325601 \h </w:instrText>
      </w:r>
      <w:r>
        <w:rPr>
          <w:rFonts w:ascii="宋体" w:hAnsi="宋体"/>
        </w:rPr>
        <w:fldChar w:fldCharType="separate"/>
      </w:r>
      <w:r>
        <w:rPr>
          <w:rFonts w:ascii="宋体" w:hAnsi="宋体" w:eastAsia="宋体"/>
        </w:rPr>
        <w:t>57</w:t>
      </w:r>
      <w:r>
        <w:rPr>
          <w:rFonts w:ascii="宋体" w:hAnsi="宋体"/>
        </w:rPr>
        <w:fldChar w:fldCharType="end"/>
      </w:r>
      <w:r>
        <w:rPr>
          <w:rFonts w:ascii="宋体" w:hAnsi="宋体"/>
        </w:rPr>
        <w:fldChar w:fldCharType="end"/>
      </w:r>
    </w:p>
    <w:p>
      <w:pPr>
        <w:pStyle w:val="18"/>
        <w:tabs>
          <w:tab w:val="right" w:leader="dot" w:pos="8296"/>
        </w:tabs>
        <w:rPr>
          <w:rFonts w:ascii="宋体" w:hAnsi="宋体" w:cs="黑体"/>
          <w:szCs w:val="22"/>
        </w:rPr>
      </w:pPr>
      <w:r>
        <w:fldChar w:fldCharType="begin"/>
      </w:r>
      <w:r>
        <w:instrText xml:space="preserve"> HYPERLINK \l "_Toc65325602" </w:instrText>
      </w:r>
      <w:r>
        <w:fldChar w:fldCharType="separate"/>
      </w:r>
      <w:r>
        <w:rPr>
          <w:rStyle w:val="34"/>
          <w:rFonts w:ascii="宋体" w:hAnsi="宋体" w:eastAsia="宋体"/>
        </w:rPr>
        <w:t>第四部分 個人服務貿易及其他經常專案跨境人民幣結算具體審核規範</w:t>
      </w:r>
      <w:r>
        <w:rPr>
          <w:rFonts w:ascii="宋体" w:hAnsi="宋体"/>
        </w:rPr>
        <w:tab/>
      </w:r>
      <w:r>
        <w:rPr>
          <w:rFonts w:ascii="宋体" w:hAnsi="宋体"/>
        </w:rPr>
        <w:fldChar w:fldCharType="begin"/>
      </w:r>
      <w:r>
        <w:rPr>
          <w:rFonts w:ascii="宋体" w:hAnsi="宋体"/>
        </w:rPr>
        <w:instrText xml:space="preserve"> PAGEREF _Toc65325602 \h </w:instrText>
      </w:r>
      <w:r>
        <w:rPr>
          <w:rFonts w:ascii="宋体" w:hAnsi="宋体"/>
        </w:rPr>
        <w:fldChar w:fldCharType="separate"/>
      </w:r>
      <w:r>
        <w:rPr>
          <w:rFonts w:ascii="宋体" w:hAnsi="宋体" w:eastAsia="宋体"/>
        </w:rPr>
        <w:t>60</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"_Toc65325603" </w:instrText>
      </w:r>
      <w:r>
        <w:fldChar w:fldCharType="separate"/>
      </w:r>
      <w:r>
        <w:rPr>
          <w:rStyle w:val="34"/>
          <w:rFonts w:ascii="宋体" w:hAnsi="宋体" w:eastAsia="宋体"/>
        </w:rPr>
        <w:t>一、業務定義</w:t>
      </w:r>
      <w:r>
        <w:rPr>
          <w:rFonts w:ascii="宋体" w:hAnsi="宋体"/>
        </w:rPr>
        <w:tab/>
      </w:r>
      <w:r>
        <w:rPr>
          <w:rFonts w:ascii="宋体" w:hAnsi="宋体"/>
        </w:rPr>
        <w:fldChar w:fldCharType="begin"/>
      </w:r>
      <w:r>
        <w:rPr>
          <w:rFonts w:ascii="宋体" w:hAnsi="宋体"/>
        </w:rPr>
        <w:instrText xml:space="preserve"> PAGEREF _Toc65325603 \h </w:instrText>
      </w:r>
      <w:r>
        <w:rPr>
          <w:rFonts w:ascii="宋体" w:hAnsi="宋体"/>
        </w:rPr>
        <w:fldChar w:fldCharType="separate"/>
      </w:r>
      <w:r>
        <w:rPr>
          <w:rFonts w:ascii="宋体" w:hAnsi="宋体" w:eastAsia="宋体"/>
        </w:rPr>
        <w:t>60</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"_Toc65325604" </w:instrText>
      </w:r>
      <w:r>
        <w:fldChar w:fldCharType="separate"/>
      </w:r>
      <w:r>
        <w:rPr>
          <w:rStyle w:val="34"/>
          <w:rFonts w:ascii="宋体" w:hAnsi="宋体" w:eastAsia="宋体"/>
        </w:rPr>
        <w:t>二、政策依據</w:t>
      </w:r>
      <w:r>
        <w:rPr>
          <w:rFonts w:ascii="宋体" w:hAnsi="宋体"/>
        </w:rPr>
        <w:tab/>
      </w:r>
      <w:r>
        <w:rPr>
          <w:rFonts w:ascii="宋体" w:hAnsi="宋体"/>
        </w:rPr>
        <w:fldChar w:fldCharType="begin"/>
      </w:r>
      <w:r>
        <w:rPr>
          <w:rFonts w:ascii="宋体" w:hAnsi="宋体"/>
        </w:rPr>
        <w:instrText xml:space="preserve"> PAGEREF _Toc65325604 \h </w:instrText>
      </w:r>
      <w:r>
        <w:rPr>
          <w:rFonts w:ascii="宋体" w:hAnsi="宋体"/>
        </w:rPr>
        <w:fldChar w:fldCharType="separate"/>
      </w:r>
      <w:r>
        <w:rPr>
          <w:rFonts w:ascii="宋体" w:hAnsi="宋体" w:eastAsia="宋体"/>
        </w:rPr>
        <w:t>60</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"_Toc65325605" </w:instrText>
      </w:r>
      <w:r>
        <w:fldChar w:fldCharType="separate"/>
      </w:r>
      <w:r>
        <w:rPr>
          <w:rStyle w:val="34"/>
          <w:rFonts w:ascii="宋体" w:hAnsi="宋体" w:eastAsia="宋体"/>
        </w:rPr>
        <w:t>三、客戶准入</w:t>
      </w:r>
      <w:r>
        <w:rPr>
          <w:rFonts w:ascii="宋体" w:hAnsi="宋体"/>
        </w:rPr>
        <w:tab/>
      </w:r>
      <w:r>
        <w:rPr>
          <w:rFonts w:ascii="宋体" w:hAnsi="宋体"/>
        </w:rPr>
        <w:fldChar w:fldCharType="begin"/>
      </w:r>
      <w:r>
        <w:rPr>
          <w:rFonts w:ascii="宋体" w:hAnsi="宋体"/>
        </w:rPr>
        <w:instrText xml:space="preserve"> PAGEREF _Toc65325605 \h </w:instrText>
      </w:r>
      <w:r>
        <w:rPr>
          <w:rFonts w:ascii="宋体" w:hAnsi="宋体"/>
        </w:rPr>
        <w:fldChar w:fldCharType="separate"/>
      </w:r>
      <w:r>
        <w:rPr>
          <w:rFonts w:ascii="宋体" w:hAnsi="宋体" w:eastAsia="宋体"/>
        </w:rPr>
        <w:t>60</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"_Toc65325606" </w:instrText>
      </w:r>
      <w:r>
        <w:fldChar w:fldCharType="separate"/>
      </w:r>
      <w:r>
        <w:rPr>
          <w:rStyle w:val="34"/>
          <w:rFonts w:ascii="宋体" w:hAnsi="宋体" w:eastAsia="宋体"/>
        </w:rPr>
        <w:t>四、審核材料</w:t>
      </w:r>
      <w:r>
        <w:rPr>
          <w:rFonts w:ascii="宋体" w:hAnsi="宋体"/>
        </w:rPr>
        <w:tab/>
      </w:r>
      <w:r>
        <w:rPr>
          <w:rFonts w:ascii="宋体" w:hAnsi="宋体"/>
        </w:rPr>
        <w:fldChar w:fldCharType="begin"/>
      </w:r>
      <w:r>
        <w:rPr>
          <w:rFonts w:ascii="宋体" w:hAnsi="宋体"/>
        </w:rPr>
        <w:instrText xml:space="preserve"> PAGEREF _Toc65325606 \h </w:instrText>
      </w:r>
      <w:r>
        <w:rPr>
          <w:rFonts w:ascii="宋体" w:hAnsi="宋体"/>
        </w:rPr>
        <w:fldChar w:fldCharType="separate"/>
      </w:r>
      <w:r>
        <w:rPr>
          <w:rFonts w:ascii="宋体" w:hAnsi="宋体" w:eastAsia="宋体"/>
        </w:rPr>
        <w:t>60</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"_Toc65325607" </w:instrText>
      </w:r>
      <w:r>
        <w:fldChar w:fldCharType="separate"/>
      </w:r>
      <w:r>
        <w:rPr>
          <w:rStyle w:val="34"/>
          <w:rFonts w:ascii="宋体" w:hAnsi="宋体" w:eastAsia="宋体"/>
        </w:rPr>
        <w:t>五、審核及操作要點</w:t>
      </w:r>
      <w:r>
        <w:rPr>
          <w:rFonts w:ascii="宋体" w:hAnsi="宋体"/>
        </w:rPr>
        <w:tab/>
      </w:r>
      <w:r>
        <w:rPr>
          <w:rFonts w:ascii="宋体" w:hAnsi="宋体"/>
        </w:rPr>
        <w:fldChar w:fldCharType="begin"/>
      </w:r>
      <w:r>
        <w:rPr>
          <w:rFonts w:ascii="宋体" w:hAnsi="宋体"/>
        </w:rPr>
        <w:instrText xml:space="preserve"> PAGEREF _Toc65325607 \h </w:instrText>
      </w:r>
      <w:r>
        <w:rPr>
          <w:rFonts w:ascii="宋体" w:hAnsi="宋体"/>
        </w:rPr>
        <w:fldChar w:fldCharType="separate"/>
      </w:r>
      <w:r>
        <w:rPr>
          <w:rFonts w:ascii="宋体" w:hAnsi="宋体" w:eastAsia="宋体"/>
        </w:rPr>
        <w:t>61</w:t>
      </w:r>
      <w:r>
        <w:rPr>
          <w:rFonts w:ascii="宋体" w:hAnsi="宋体"/>
        </w:rPr>
        <w:fldChar w:fldCharType="end"/>
      </w:r>
      <w:r>
        <w:rPr>
          <w:rFonts w:ascii="宋体" w:hAnsi="宋体"/>
        </w:rPr>
        <w:fldChar w:fldCharType="end"/>
      </w:r>
    </w:p>
    <w:p>
      <w:pPr>
        <w:pStyle w:val="25"/>
        <w:tabs>
          <w:tab w:val="right" w:leader="dot" w:pos="8296"/>
        </w:tabs>
        <w:rPr>
          <w:rFonts w:ascii="宋体" w:hAnsi="宋体" w:cs="黑体"/>
          <w:szCs w:val="22"/>
        </w:rPr>
      </w:pPr>
      <w:r>
        <w:fldChar w:fldCharType="begin"/>
      </w:r>
      <w:r>
        <w:instrText xml:space="preserve"> HYPERLINK \l "_Toc65325608" </w:instrText>
      </w:r>
      <w:r>
        <w:fldChar w:fldCharType="separate"/>
      </w:r>
      <w:r>
        <w:rPr>
          <w:rStyle w:val="34"/>
          <w:rFonts w:ascii="宋体" w:hAnsi="宋体" w:eastAsia="宋体"/>
        </w:rPr>
        <w:t>六、風險提示</w:t>
      </w:r>
      <w:r>
        <w:rPr>
          <w:rFonts w:ascii="宋体" w:hAnsi="宋体"/>
        </w:rPr>
        <w:tab/>
      </w:r>
      <w:r>
        <w:rPr>
          <w:rFonts w:ascii="宋体" w:hAnsi="宋体"/>
        </w:rPr>
        <w:fldChar w:fldCharType="begin"/>
      </w:r>
      <w:r>
        <w:rPr>
          <w:rFonts w:ascii="宋体" w:hAnsi="宋体"/>
        </w:rPr>
        <w:instrText xml:space="preserve"> PAGEREF _Toc65325608 \h </w:instrText>
      </w:r>
      <w:r>
        <w:rPr>
          <w:rFonts w:ascii="宋体" w:hAnsi="宋体"/>
        </w:rPr>
        <w:fldChar w:fldCharType="separate"/>
      </w:r>
      <w:r>
        <w:rPr>
          <w:rFonts w:ascii="宋体" w:hAnsi="宋体" w:eastAsia="宋体"/>
        </w:rPr>
        <w:t>64</w:t>
      </w:r>
      <w:r>
        <w:rPr>
          <w:rFonts w:ascii="宋体" w:hAnsi="宋体"/>
        </w:rPr>
        <w:fldChar w:fldCharType="end"/>
      </w:r>
      <w:r>
        <w:rPr>
          <w:rFonts w:ascii="宋体" w:hAnsi="宋体"/>
        </w:rPr>
        <w:fldChar w:fldCharType="end"/>
      </w:r>
    </w:p>
    <w:p>
      <w:pPr>
        <w:snapToGrid w:val="0"/>
        <w:spacing w:line="600" w:lineRule="exact"/>
        <w:jc w:val="center"/>
        <w:rPr>
          <w:rFonts w:ascii="黑体" w:hAnsi="Times New Roman" w:eastAsia="黑体"/>
          <w:b/>
          <w:bCs/>
          <w:sz w:val="30"/>
          <w:szCs w:val="30"/>
        </w:rPr>
        <w:sectPr>
          <w:footerReference r:id="rId6"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sz w:val="32"/>
          <w:szCs w:val="32"/>
        </w:rPr>
        <w:fldChar w:fldCharType="end"/>
      </w:r>
    </w:p>
    <w:p>
      <w:pPr>
        <w:pStyle w:val="2"/>
        <w:spacing w:line="560" w:lineRule="exact"/>
        <w:ind w:firstLine="0" w:firstLineChars="0"/>
        <w:rPr>
          <w:sz w:val="36"/>
          <w:szCs w:val="36"/>
        </w:rPr>
      </w:pPr>
      <w:bookmarkStart w:id="0" w:name="_Toc38028365"/>
      <w:bookmarkStart w:id="1" w:name="_Toc65325568"/>
      <w:bookmarkStart w:id="2" w:name="_Toc506194394"/>
      <w:r>
        <w:rPr>
          <w:rFonts w:hint="eastAsia" w:eastAsia="宋体"/>
          <w:sz w:val="44"/>
          <w:szCs w:val="44"/>
        </w:rPr>
        <w:t>第一部分</w:t>
      </w:r>
      <w:r>
        <w:rPr>
          <w:rFonts w:hint="eastAsia" w:eastAsia="宋体"/>
          <w:sz w:val="44"/>
          <w:szCs w:val="44"/>
          <w:lang w:val="en-US"/>
        </w:rPr>
        <w:t xml:space="preserve"> </w:t>
      </w:r>
      <w:r>
        <w:rPr>
          <w:rFonts w:hint="eastAsia" w:eastAsia="宋体"/>
          <w:sz w:val="44"/>
          <w:szCs w:val="44"/>
        </w:rPr>
        <w:t>總則</w:t>
      </w:r>
      <w:bookmarkEnd w:id="0"/>
      <w:bookmarkEnd w:id="1"/>
      <w:bookmarkEnd w:id="2"/>
    </w:p>
    <w:p>
      <w:pPr>
        <w:rPr>
          <w:sz w:val="32"/>
          <w:szCs w:val="32"/>
          <w:lang w:val="zh-CN"/>
        </w:rPr>
      </w:pPr>
    </w:p>
    <w:p>
      <w:pPr>
        <w:pStyle w:val="3"/>
        <w:adjustRightInd w:val="0"/>
        <w:snapToGrid w:val="0"/>
        <w:spacing w:before="0" w:after="0" w:line="560" w:lineRule="exact"/>
        <w:ind w:firstLine="640" w:firstLineChars="200"/>
        <w:rPr>
          <w:rFonts w:ascii="黑体" w:hAnsi="黑体"/>
          <w:b w:val="0"/>
          <w:sz w:val="30"/>
          <w:szCs w:val="30"/>
        </w:rPr>
      </w:pPr>
      <w:bookmarkStart w:id="3" w:name="_Toc65325569"/>
      <w:bookmarkStart w:id="4" w:name="_Toc506194395"/>
      <w:r>
        <w:rPr>
          <w:rFonts w:hint="eastAsia" w:ascii="黑体" w:hAnsi="黑体" w:eastAsia="宋体"/>
          <w:b w:val="0"/>
        </w:rPr>
        <w:t>一、主要原則</w:t>
      </w:r>
      <w:bookmarkEnd w:id="3"/>
    </w:p>
    <w:p>
      <w:pPr>
        <w:adjustRightInd w:val="0"/>
        <w:snapToGrid w:val="0"/>
        <w:spacing w:line="560" w:lineRule="exact"/>
        <w:ind w:firstLine="643" w:firstLineChars="200"/>
        <w:rPr>
          <w:rFonts w:ascii="仿宋_GB2312" w:hAnsi="仿宋" w:eastAsia="仿宋_GB2312" w:cs="仿宋"/>
          <w:sz w:val="32"/>
          <w:szCs w:val="32"/>
        </w:rPr>
      </w:pPr>
      <w:r>
        <w:rPr>
          <w:rFonts w:hint="eastAsia" w:ascii="仿宋_GB2312" w:hAnsi="仿宋" w:eastAsia="宋体" w:cs="仿宋"/>
          <w:b/>
          <w:bCs/>
          <w:sz w:val="32"/>
          <w:szCs w:val="32"/>
        </w:rPr>
        <w:t>1.切實履行真實性、合規性審核職責。</w:t>
      </w:r>
      <w:r>
        <w:rPr>
          <w:rFonts w:hint="eastAsia" w:ascii="仿宋_GB2312" w:hAnsi="仿宋" w:eastAsia="宋体" w:cs="仿宋"/>
          <w:sz w:val="32"/>
          <w:szCs w:val="32"/>
        </w:rPr>
        <w:t>銀行應在業務單證審核、審慎經營、持續監控和內控管理等環節，對客戶提交的經常專案交易單證的真實性及其與跨境人民幣收支的一致性進行盡職審查。</w:t>
      </w:r>
    </w:p>
    <w:p>
      <w:pPr>
        <w:adjustRightInd w:val="0"/>
        <w:snapToGrid w:val="0"/>
        <w:spacing w:line="560" w:lineRule="exact"/>
        <w:ind w:firstLine="643" w:firstLineChars="200"/>
        <w:rPr>
          <w:rFonts w:ascii="仿宋_GB2312" w:hAnsi="仿宋" w:eastAsia="仿宋_GB2312" w:cs="仿宋"/>
          <w:sz w:val="32"/>
          <w:szCs w:val="32"/>
        </w:rPr>
      </w:pPr>
      <w:r>
        <w:rPr>
          <w:rFonts w:hint="eastAsia" w:ascii="仿宋_GB2312" w:hAnsi="仿宋" w:eastAsia="宋体" w:cs="仿宋"/>
          <w:b/>
          <w:bCs/>
          <w:sz w:val="32"/>
          <w:szCs w:val="32"/>
        </w:rPr>
        <w:t>2.加強對經常專案重點監管業務的審核。</w:t>
      </w:r>
      <w:r>
        <w:rPr>
          <w:rFonts w:hint="eastAsia" w:ascii="仿宋_GB2312" w:hAnsi="仿宋" w:eastAsia="宋体" w:cs="仿宋"/>
          <w:sz w:val="32"/>
          <w:szCs w:val="32"/>
        </w:rPr>
        <w:t>對重點監管企業、重點關注業務和高頻、大額等異常業務，應執行嚴格的單證審核標準，採取調查客戶背景、分析業務合理性等方式，強化審查措施，通過差異化的管理措施有效防範業務風險。</w:t>
      </w:r>
    </w:p>
    <w:p>
      <w:pPr>
        <w:adjustRightInd w:val="0"/>
        <w:snapToGrid w:val="0"/>
        <w:spacing w:line="560" w:lineRule="exact"/>
        <w:ind w:firstLine="643" w:firstLineChars="200"/>
        <w:rPr>
          <w:rFonts w:ascii="仿宋_GB2312" w:hAnsi="仿宋" w:eastAsia="仿宋_GB2312" w:cs="仿宋"/>
          <w:sz w:val="32"/>
          <w:szCs w:val="32"/>
        </w:rPr>
      </w:pPr>
      <w:r>
        <w:rPr>
          <w:rFonts w:hint="eastAsia" w:ascii="仿宋_GB2312" w:hAnsi="仿宋" w:eastAsia="宋体" w:cs="仿宋"/>
          <w:b/>
          <w:bCs/>
          <w:sz w:val="32"/>
          <w:szCs w:val="32"/>
        </w:rPr>
        <w:t>3.尊重客戶幣種實際選擇。</w:t>
      </w:r>
      <w:r>
        <w:rPr>
          <w:rFonts w:hint="eastAsia" w:ascii="仿宋_GB2312" w:hAnsi="仿宋" w:eastAsia="宋体" w:cs="仿宋"/>
          <w:sz w:val="32"/>
          <w:szCs w:val="32"/>
        </w:rPr>
        <w:t>銀行應充分尊重市場規律和客戶意願，按規定為客戶辦理經常專案跨境人民幣收付。支持企業使用人民幣跨境結算。凡依法可以使用外匯結算的跨境交易，企業都可以使用人民幣結算。銀行應以服務實體經濟、促進貿易便利化為導向，根據跨境人民幣政策，創新人民幣金融產品，提升金融服務能力，充分滿足客戶真實、合規的人民幣跨境業務需求。</w:t>
      </w:r>
    </w:p>
    <w:p>
      <w:pPr>
        <w:adjustRightInd w:val="0"/>
        <w:snapToGrid w:val="0"/>
        <w:spacing w:line="560" w:lineRule="exact"/>
        <w:ind w:firstLine="643" w:firstLineChars="200"/>
        <w:rPr>
          <w:rFonts w:ascii="仿宋_GB2312" w:hAnsi="仿宋" w:eastAsia="仿宋_GB2312" w:cs="仿宋"/>
          <w:sz w:val="32"/>
          <w:szCs w:val="32"/>
        </w:rPr>
      </w:pPr>
      <w:r>
        <w:rPr>
          <w:rFonts w:hint="eastAsia" w:ascii="仿宋_GB2312" w:hAnsi="仿宋" w:eastAsia="宋体" w:cs="仿宋"/>
          <w:b/>
          <w:bCs/>
          <w:sz w:val="32"/>
          <w:szCs w:val="32"/>
        </w:rPr>
        <w:t>4.防範投機套利造成的跨境資金流動風險。</w:t>
      </w:r>
      <w:r>
        <w:rPr>
          <w:rFonts w:hint="eastAsia" w:ascii="仿宋_GB2312" w:hAnsi="仿宋" w:eastAsia="宋体" w:cs="仿宋"/>
          <w:sz w:val="32"/>
          <w:szCs w:val="32"/>
        </w:rPr>
        <w:t>銀行應根據國家宏觀調控和宏觀審慎管理要求加強跨境資金流動管理。不得引導或配合客戶利用境內外匯率和利率的差異等因素，通過經常專案跨境人民幣業務管道開展違反法規和政策要求的投機套利交易。</w:t>
      </w:r>
    </w:p>
    <w:p>
      <w:pPr>
        <w:adjustRightInd w:val="0"/>
        <w:snapToGrid w:val="0"/>
        <w:spacing w:line="560" w:lineRule="exact"/>
        <w:ind w:firstLine="643" w:firstLineChars="200"/>
        <w:rPr>
          <w:rFonts w:ascii="仿宋_GB2312" w:hAnsi="仿宋" w:eastAsia="仿宋_GB2312" w:cs="仿宋"/>
          <w:sz w:val="32"/>
          <w:szCs w:val="32"/>
        </w:rPr>
      </w:pPr>
      <w:r>
        <w:rPr>
          <w:rFonts w:hint="eastAsia" w:ascii="仿宋_GB2312" w:hAnsi="仿宋" w:eastAsia="宋体" w:cs="仿宋"/>
          <w:b/>
          <w:bCs/>
          <w:sz w:val="32"/>
          <w:szCs w:val="32"/>
        </w:rPr>
        <w:t>5.及時監測和處置異常交易。</w:t>
      </w:r>
      <w:r>
        <w:rPr>
          <w:rFonts w:hint="eastAsia" w:ascii="仿宋_GB2312" w:hAnsi="仿宋" w:eastAsia="宋体" w:cs="仿宋"/>
          <w:sz w:val="32"/>
          <w:szCs w:val="32"/>
        </w:rPr>
        <w:t>銀行應加強對客戶業務辦理情況的持續性監測。對於客戶的大額、高頻等異常交易行為，應予以重點關注，詳細瞭解原因；對於客戶使用虛假材料、資金實際用途與申請不符、異常交易解釋不清等可疑行為，應暫停為其辦理業務，並及時向當地人民銀行報告。</w:t>
      </w:r>
    </w:p>
    <w:p>
      <w:pPr>
        <w:adjustRightInd w:val="0"/>
        <w:snapToGrid w:val="0"/>
        <w:spacing w:line="560" w:lineRule="exact"/>
        <w:ind w:firstLine="643" w:firstLineChars="200"/>
        <w:rPr>
          <w:rFonts w:ascii="仿宋_GB2312" w:hAnsi="仿宋" w:eastAsia="仿宋_GB2312" w:cs="仿宋"/>
          <w:sz w:val="32"/>
          <w:szCs w:val="32"/>
        </w:rPr>
      </w:pPr>
      <w:r>
        <w:rPr>
          <w:rFonts w:hint="eastAsia" w:ascii="仿宋_GB2312" w:hAnsi="仿宋" w:eastAsia="宋体" w:cs="仿宋"/>
          <w:b/>
          <w:bCs/>
          <w:sz w:val="32"/>
          <w:szCs w:val="32"/>
        </w:rPr>
        <w:t>6.積極實施更高水準的貿易投資便利化試點。</w:t>
      </w:r>
      <w:r>
        <w:rPr>
          <w:rFonts w:hint="eastAsia" w:ascii="仿宋_GB2312" w:hAnsi="仿宋" w:eastAsia="宋体" w:cs="仿宋"/>
          <w:sz w:val="32"/>
          <w:szCs w:val="32"/>
        </w:rPr>
        <w:t>銀行應在各省級自律機制指導下，在落實“展業三原則”基礎上，為優質企業辦理貨物貿易、服務貿易跨境人民幣結算（離岸轉手買賣、退款除外）提供更高水準的便利化服務。</w:t>
      </w:r>
    </w:p>
    <w:p>
      <w:pPr>
        <w:adjustRightInd w:val="0"/>
        <w:snapToGrid w:val="0"/>
        <w:spacing w:line="560" w:lineRule="exact"/>
        <w:ind w:firstLine="643" w:firstLineChars="200"/>
        <w:rPr>
          <w:rFonts w:ascii="仿宋" w:hAnsi="仿宋" w:eastAsia="仿宋" w:cs="仿宋"/>
          <w:sz w:val="30"/>
          <w:szCs w:val="30"/>
        </w:rPr>
      </w:pPr>
      <w:r>
        <w:rPr>
          <w:rFonts w:hint="eastAsia" w:ascii="仿宋_GB2312" w:hAnsi="仿宋" w:eastAsia="宋体" w:cs="仿宋"/>
          <w:b/>
          <w:bCs/>
          <w:sz w:val="32"/>
          <w:szCs w:val="32"/>
        </w:rPr>
        <w:t>7.支持貿易新業態跨境人民幣結算。</w:t>
      </w:r>
      <w:r>
        <w:rPr>
          <w:rFonts w:hint="eastAsia" w:ascii="仿宋_GB2312" w:hAnsi="仿宋" w:eastAsia="宋体" w:cs="仿宋"/>
          <w:sz w:val="32"/>
          <w:szCs w:val="32"/>
        </w:rPr>
        <w:t>銀行在滿足交易資訊採集、真實性審核的條件下，可按相關規定憑交易電子資訊為跨境電子商務等貿易新業態市場主體提供經常項下跨境人民幣結算服務。</w:t>
      </w:r>
    </w:p>
    <w:p>
      <w:pPr>
        <w:pStyle w:val="3"/>
        <w:adjustRightInd w:val="0"/>
        <w:snapToGrid w:val="0"/>
        <w:spacing w:before="0" w:after="0" w:line="560" w:lineRule="exact"/>
        <w:ind w:firstLine="640" w:firstLineChars="200"/>
        <w:rPr>
          <w:rFonts w:ascii="黑体" w:hAnsi="黑体"/>
          <w:b w:val="0"/>
        </w:rPr>
      </w:pPr>
      <w:bookmarkStart w:id="5" w:name="_Toc65325570"/>
      <w:r>
        <w:rPr>
          <w:rFonts w:hint="eastAsia" w:ascii="黑体" w:hAnsi="黑体" w:eastAsia="宋体"/>
          <w:b w:val="0"/>
        </w:rPr>
        <w:t>二、客戶識別</w:t>
      </w:r>
      <w:bookmarkEnd w:id="4"/>
      <w:bookmarkEnd w:id="5"/>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銀行為客戶辦理經常專案跨境人民幣業務，應嚴格履行“瞭解你的客戶”、“瞭解你的業務”、“盡職審查”的展業原則（下稱“展業三原則”)，確保業務具有真實、合法的經常專案交易背景，滿足具有實體經濟背景的人民幣跨境結算需求，促進貿易投資便利化，防止虛構交易背景或利用經常專案管道進行投機套利活動。</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1.辦理業務當日，銀行</w:t>
      </w:r>
      <w:r>
        <w:rPr>
          <w:rFonts w:hint="eastAsia" w:ascii="仿宋_GB2312" w:hAnsi="仿宋" w:eastAsia="宋体" w:cs="仿宋"/>
          <w:sz w:val="32"/>
          <w:szCs w:val="32"/>
          <w:lang w:eastAsia="zh-CN"/>
        </w:rPr>
        <w:t>通過</w:t>
      </w:r>
      <w:r>
        <w:rPr>
          <w:rFonts w:hint="eastAsia" w:ascii="仿宋_GB2312" w:hAnsi="仿宋" w:eastAsia="宋体" w:cs="仿宋"/>
          <w:sz w:val="32"/>
          <w:szCs w:val="32"/>
        </w:rPr>
        <w:t>人民幣跨境收付資訊管理系統（以下簡稱RCPMIS系統）查詢是否</w:t>
      </w:r>
      <w:r>
        <w:rPr>
          <w:rFonts w:hint="eastAsia" w:ascii="仿宋_GB2312" w:hAnsi="仿宋" w:eastAsia="宋体" w:cs="仿宋"/>
          <w:sz w:val="32"/>
          <w:szCs w:val="32"/>
          <w:lang w:eastAsia="zh-CN"/>
        </w:rPr>
        <w:t>報送過該企業基本資訊</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bCs/>
          <w:sz w:val="32"/>
          <w:szCs w:val="32"/>
        </w:rPr>
      </w:pPr>
      <w:r>
        <w:rPr>
          <w:rFonts w:hint="eastAsia" w:ascii="仿宋_GB2312" w:hAnsi="仿宋" w:eastAsia="宋体" w:cs="仿宋"/>
          <w:bCs/>
          <w:sz w:val="32"/>
          <w:szCs w:val="32"/>
        </w:rPr>
        <w:t>2.判斷客戶從事服務貿易活動是否符合國家規定，須經國家相關主管部門審批、核准、登記、備案的，在辦理服務貿易跨境人民幣收支前，查明客戶是否已辦妥相關手續。</w:t>
      </w:r>
      <w:bookmarkStart w:id="6" w:name="_Toc462864820"/>
      <w:bookmarkStart w:id="7" w:name="_Toc462864644"/>
      <w:bookmarkStart w:id="8" w:name="_Toc462864739"/>
      <w:bookmarkStart w:id="9" w:name="_Toc450119151"/>
      <w:bookmarkStart w:id="10" w:name="_Toc462864502"/>
    </w:p>
    <w:p>
      <w:pPr>
        <w:adjustRightInd w:val="0"/>
        <w:snapToGrid w:val="0"/>
        <w:spacing w:line="560" w:lineRule="exact"/>
        <w:ind w:firstLine="640" w:firstLineChars="200"/>
        <w:rPr>
          <w:rFonts w:ascii="仿宋" w:hAnsi="仿宋" w:eastAsia="仿宋" w:cs="仿宋"/>
          <w:bCs/>
          <w:sz w:val="30"/>
          <w:szCs w:val="30"/>
        </w:rPr>
      </w:pPr>
      <w:r>
        <w:rPr>
          <w:rFonts w:hint="eastAsia" w:ascii="仿宋_GB2312" w:hAnsi="仿宋" w:eastAsia="宋体" w:cs="仿宋"/>
          <w:bCs/>
          <w:sz w:val="32"/>
          <w:szCs w:val="32"/>
        </w:rPr>
        <w:t>3.按反洗錢、反恐怖融資要求對客戶的實際控制人進行盡職審查。</w:t>
      </w:r>
    </w:p>
    <w:p>
      <w:pPr>
        <w:pStyle w:val="3"/>
        <w:adjustRightInd w:val="0"/>
        <w:snapToGrid w:val="0"/>
        <w:spacing w:before="0" w:after="0" w:line="560" w:lineRule="exact"/>
        <w:ind w:firstLine="640" w:firstLineChars="200"/>
        <w:rPr>
          <w:rFonts w:ascii="黑体" w:hAnsi="黑体" w:cs="仿宋"/>
          <w:b w:val="0"/>
          <w:bCs w:val="0"/>
        </w:rPr>
      </w:pPr>
      <w:bookmarkStart w:id="11" w:name="_Toc65325571"/>
      <w:bookmarkStart w:id="12" w:name="_Toc506194396"/>
      <w:r>
        <w:rPr>
          <w:rFonts w:hint="eastAsia" w:ascii="黑体" w:hAnsi="黑体" w:eastAsia="宋体" w:cs="仿宋"/>
          <w:b w:val="0"/>
          <w:bCs w:val="0"/>
        </w:rPr>
        <w:t>三、客戶分類</w:t>
      </w:r>
      <w:bookmarkEnd w:id="6"/>
      <w:bookmarkEnd w:id="7"/>
      <w:bookmarkEnd w:id="8"/>
      <w:bookmarkEnd w:id="9"/>
      <w:bookmarkEnd w:id="10"/>
      <w:bookmarkEnd w:id="11"/>
      <w:bookmarkEnd w:id="12"/>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銀行對客戶實施分類管理。按照風險程度將客戶劃分為可信客戶與關注客戶，分別實施一般盡職審查措施和強化審查措施。</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銀行可在“展業三原則”基礎上，自行或通過省級跨境人民幣業務自律機制認定可信客戶中的優質企業，為其提供更高水準的貿易投資便利化服務。境內銀行開展更高水準貿易投資便利化試點，應通過省級跨境人民幣業務自律機制制定具體實施方案，明確客戶的認定標準和動態調整機制等風險防控措施，並將方案報備所在地副省級及以上人民銀行分支機構後實施。</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（一）可信客戶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除關注客戶外，其他客戶均為可信客戶。</w:t>
      </w:r>
    </w:p>
    <w:p>
      <w:pPr>
        <w:spacing w:line="55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 w:eastAsia="宋体" w:cs="仿宋"/>
          <w:sz w:val="32"/>
          <w:szCs w:val="32"/>
        </w:rPr>
        <w:t>銀行可在“展業三原則”基礎上，自行或</w:t>
      </w:r>
      <w:r>
        <w:rPr>
          <w:rFonts w:hint="eastAsia" w:ascii="仿宋_GB2312" w:hAnsi="仿宋_GB2312" w:eastAsia="宋体" w:cs="仿宋_GB2312"/>
          <w:sz w:val="32"/>
          <w:szCs w:val="32"/>
          <w:shd w:val="clear" w:color="auto" w:fill="FFFFFF"/>
        </w:rPr>
        <w:t>通過省級跨境人民幣業務自律機制認定</w:t>
      </w:r>
      <w:r>
        <w:rPr>
          <w:rFonts w:hint="eastAsia" w:ascii="仿宋_GB2312" w:hAnsi="仿宋" w:eastAsia="宋体" w:cs="仿宋"/>
          <w:sz w:val="32"/>
          <w:szCs w:val="32"/>
        </w:rPr>
        <w:t>可信客戶中的優質企業。</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（二）關注客戶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滿足以下條件之一的，應列為關注客戶：</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1.被人民銀行或其他監管部門納入公開發佈的限制性管理分類名單，如跨境人民幣業務重點監管名單，貨物貿易外匯管理分類B、C類等。</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2.近一年內被人民銀行或其他監管部門通報的，如涉及人民銀行檢查處罰案件資訊、違法違規案例、風險提示案例、惡意規避監管案例、企業信用報告存在瑕疵的及其他不良行為記錄的。</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客戶身份資訊存在疑問、背景不明的，或者無法獲取足夠資訊對客戶背景進行評估的。如無正式固定辦公經營場所、無準確聯繫方式、主營業務在異地的且身份資訊存疑的、新創建業務關係且身份資訊存疑的企業等。</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4.機構成立時間不足一年的或正常生產經營時間不足一年的。</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5.交易明顯不符常理或不具商業合理性的。</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6.交易規模與客戶資本實力、投資總額、生產經營規模或跨境貨物貿易規模顯著不符的。</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7.企業或其實際控制人被相關有權部門調查的。</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8.資金往來尤其是跨境資金流動、跨境人民幣收支存在明顯異常的。</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9.銀行有權將業務規模大、影響範圍廣的客戶列為關注。</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10.銀行整體評估認為應被列為關注客戶的。</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可信客戶與關注客戶可以在一定條件下相互轉換，當關注客戶不再具備上述特徵時，或雖具備上述特徵但銀行認為有充分瞭解、風險可控的，可將其轉為可信客戶。對於出現異常收支行為的可信客戶銀行應將其轉為關注客戶。</w:t>
      </w:r>
    </w:p>
    <w:p>
      <w:pPr>
        <w:pStyle w:val="3"/>
        <w:adjustRightInd w:val="0"/>
        <w:snapToGrid w:val="0"/>
        <w:spacing w:before="0" w:after="0" w:line="560" w:lineRule="exact"/>
        <w:ind w:firstLine="640" w:firstLineChars="200"/>
        <w:rPr>
          <w:rFonts w:ascii="黑体" w:hAnsi="黑体" w:cs="仿宋"/>
          <w:b w:val="0"/>
          <w:bCs w:val="0"/>
        </w:rPr>
      </w:pPr>
      <w:bookmarkStart w:id="13" w:name="_Toc462864740"/>
      <w:bookmarkStart w:id="14" w:name="_Toc65325572"/>
      <w:bookmarkStart w:id="15" w:name="_Toc462864503"/>
      <w:bookmarkStart w:id="16" w:name="_Toc462864645"/>
      <w:bookmarkStart w:id="17" w:name="_Toc450119152"/>
      <w:bookmarkStart w:id="18" w:name="_Toc506194397"/>
      <w:bookmarkStart w:id="19" w:name="_Toc462864821"/>
      <w:r>
        <w:rPr>
          <w:rFonts w:hint="eastAsia" w:ascii="黑体" w:hAnsi="黑体" w:eastAsia="宋体" w:cs="仿宋"/>
          <w:b w:val="0"/>
          <w:bCs w:val="0"/>
        </w:rPr>
        <w:t>四、業務審核</w:t>
      </w:r>
      <w:bookmarkEnd w:id="13"/>
      <w:bookmarkEnd w:id="14"/>
      <w:bookmarkEnd w:id="15"/>
      <w:bookmarkEnd w:id="16"/>
      <w:bookmarkEnd w:id="17"/>
      <w:bookmarkEnd w:id="18"/>
      <w:bookmarkEnd w:id="19"/>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（一）審核材料</w:t>
      </w:r>
    </w:p>
    <w:p>
      <w:pPr>
        <w:adjustRightInd w:val="0"/>
        <w:snapToGrid w:val="0"/>
        <w:spacing w:line="560" w:lineRule="exact"/>
        <w:ind w:firstLine="640" w:firstLineChars="200"/>
        <w:rPr>
          <w:rFonts w:ascii="仿宋_GB2312" w:hAnsi="仿宋" w:eastAsia="仿宋_GB2312" w:cs="仿宋"/>
          <w:sz w:val="32"/>
          <w:szCs w:val="32"/>
        </w:rPr>
      </w:pPr>
      <w:r>
        <w:rPr>
          <w:rFonts w:ascii="仿宋_GB2312" w:hAnsi="仿宋" w:eastAsia="宋体" w:cs="仿宋"/>
          <w:sz w:val="32"/>
          <w:szCs w:val="32"/>
        </w:rPr>
        <w:t>1.</w:t>
      </w:r>
      <w:r>
        <w:rPr>
          <w:rFonts w:hint="eastAsia" w:ascii="仿宋_GB2312" w:hAnsi="仿宋" w:eastAsia="宋体" w:cs="仿宋"/>
          <w:sz w:val="32"/>
          <w:szCs w:val="32"/>
        </w:rPr>
        <w:t>《跨境人民幣結算收/付款說明》：可</w:t>
      </w:r>
      <w:r>
        <w:rPr>
          <w:rFonts w:hint="eastAsia" w:ascii="仿宋_GB2312" w:hAnsi="仿宋_GB2312" w:eastAsia="宋体" w:cs="仿宋_GB2312"/>
          <w:sz w:val="32"/>
          <w:szCs w:val="32"/>
          <w:shd w:val="clear" w:color="auto" w:fill="FFFFFF"/>
        </w:rPr>
        <w:t>使用企業提交的紙質形式或電子形式的收付款指令代替</w:t>
      </w:r>
      <w:r>
        <w:rPr>
          <w:rFonts w:hint="eastAsia" w:ascii="仿宋_GB2312" w:hAnsi="仿宋" w:eastAsia="宋体" w:cs="仿宋"/>
          <w:sz w:val="32"/>
          <w:szCs w:val="32"/>
        </w:rPr>
        <w:t>《跨境人民幣結算收/付款說明》</w:t>
      </w:r>
      <w:r>
        <w:rPr>
          <w:rFonts w:hint="eastAsia" w:ascii="仿宋_GB2312" w:hAnsi="仿宋_GB2312" w:eastAsia="宋体" w:cs="仿宋_GB2312"/>
          <w:sz w:val="32"/>
          <w:szCs w:val="32"/>
          <w:shd w:val="clear" w:color="auto" w:fill="FFFFFF"/>
        </w:rPr>
        <w:t>，企業提交的收付款指令應滿足國際收支申報和跨境人民幣業務資訊報送要求</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w:t>
      </w:r>
      <w:r>
        <w:rPr>
          <w:rFonts w:ascii="仿宋_GB2312" w:hAnsi="仿宋" w:eastAsia="宋体" w:cs="仿宋"/>
          <w:sz w:val="32"/>
          <w:szCs w:val="32"/>
        </w:rPr>
        <w:t>.</w:t>
      </w:r>
      <w:r>
        <w:rPr>
          <w:rFonts w:hint="eastAsia" w:ascii="仿宋_GB2312" w:hAnsi="仿宋" w:eastAsia="宋体" w:cs="仿宋"/>
          <w:sz w:val="32"/>
          <w:szCs w:val="32"/>
        </w:rPr>
        <w:t>合同（協議）：應具備交易標的、幣種、金額、主體等要素，需加蓋企業公章；</w:t>
      </w:r>
    </w:p>
    <w:p>
      <w:pPr>
        <w:adjustRightInd w:val="0"/>
        <w:snapToGrid w:val="0"/>
        <w:spacing w:line="560" w:lineRule="exact"/>
        <w:ind w:firstLine="640" w:firstLineChars="200"/>
        <w:rPr>
          <w:rFonts w:ascii="仿宋_GB2312" w:hAnsi="仿宋" w:eastAsia="仿宋_GB2312" w:cs="仿宋"/>
          <w:sz w:val="32"/>
          <w:szCs w:val="32"/>
        </w:rPr>
      </w:pPr>
      <w:r>
        <w:rPr>
          <w:rFonts w:ascii="仿宋_GB2312" w:hAnsi="仿宋" w:eastAsia="宋体" w:cs="仿宋"/>
          <w:sz w:val="32"/>
          <w:szCs w:val="32"/>
        </w:rPr>
        <w:t>3.</w:t>
      </w:r>
      <w:r>
        <w:rPr>
          <w:rFonts w:hint="eastAsia" w:ascii="仿宋_GB2312" w:hAnsi="仿宋" w:eastAsia="宋体" w:cs="仿宋"/>
          <w:sz w:val="32"/>
          <w:szCs w:val="32"/>
        </w:rPr>
        <w:t>發票（支付通知）：列明交易標的、主體、幣種、金額等要素的結算清單（支付清單），包括商業發票、形式發票等；</w:t>
      </w:r>
    </w:p>
    <w:p>
      <w:pPr>
        <w:spacing w:line="556" w:lineRule="exact"/>
        <w:ind w:firstLine="640" w:firstLineChars="200"/>
        <w:rPr>
          <w:rFonts w:ascii="仿宋_GB2312" w:hAnsi="仿宋_GB2312" w:eastAsia="仿宋_GB2312" w:cs="仿宋_GB2312"/>
          <w:sz w:val="32"/>
          <w:szCs w:val="32"/>
          <w:shd w:val="clear" w:color="auto" w:fill="FFFFFF"/>
        </w:rPr>
      </w:pPr>
      <w:r>
        <w:rPr>
          <w:rFonts w:ascii="仿宋_GB2312" w:hAnsi="仿宋" w:eastAsia="宋体"/>
          <w:sz w:val="32"/>
          <w:szCs w:val="32"/>
        </w:rPr>
        <w:t>4.</w:t>
      </w:r>
      <w:r>
        <w:rPr>
          <w:rFonts w:hint="eastAsia" w:ascii="仿宋_GB2312" w:hAnsi="仿宋" w:eastAsia="宋体"/>
          <w:sz w:val="32"/>
          <w:szCs w:val="32"/>
        </w:rPr>
        <w:t>對於可信客戶中的優質企業，銀行可</w:t>
      </w:r>
      <w:r>
        <w:rPr>
          <w:rFonts w:hint="eastAsia" w:ascii="仿宋_GB2312" w:hAnsi="仿宋_GB2312" w:eastAsia="宋体" w:cs="仿宋_GB2312"/>
          <w:sz w:val="32"/>
          <w:szCs w:val="32"/>
          <w:shd w:val="clear" w:color="auto" w:fill="FFFFFF"/>
        </w:rPr>
        <w:t>在“展業三原則”基礎上，憑優質企業提交的《跨境人民幣結算收/付款說明》或收付款指令，直接為其辦理服務貿易跨境人民幣結算（退款除外）；</w:t>
      </w:r>
    </w:p>
    <w:p>
      <w:pPr>
        <w:keepNext w:val="0"/>
        <w:keepLines w:val="0"/>
        <w:widowControl/>
        <w:suppressLineNumbers w:val="0"/>
        <w:ind w:firstLine="640" w:firstLineChars="200"/>
        <w:jc w:val="left"/>
        <w:textAlignment w:val="center"/>
        <w:rPr>
          <w:rFonts w:hint="eastAsia" w:ascii="仿宋_GB2312" w:hAnsi="仿宋" w:eastAsia="仿宋_GB2312" w:cs="仿宋"/>
          <w:i w:val="0"/>
          <w:kern w:val="2"/>
          <w:sz w:val="32"/>
          <w:szCs w:val="32"/>
          <w:u w:val="none"/>
          <w:lang w:val="en-US" w:eastAsia="zh-CN" w:bidi="ar"/>
        </w:rPr>
      </w:pPr>
      <w:r>
        <w:rPr>
          <w:rFonts w:ascii="仿宋_GB2312" w:hAnsi="仿宋" w:eastAsia="宋体" w:cs="仿宋"/>
          <w:sz w:val="32"/>
          <w:szCs w:val="32"/>
        </w:rPr>
        <w:t>5.</w:t>
      </w:r>
      <w:r>
        <w:rPr>
          <w:rFonts w:hint="eastAsia" w:ascii="仿宋_GB2312" w:hAnsi="仿宋" w:eastAsia="宋体" w:cs="仿宋"/>
          <w:sz w:val="32"/>
          <w:szCs w:val="32"/>
          <w:lang w:eastAsia="zh-CN"/>
        </w:rPr>
        <w:t>客戶辦理單筆金額</w:t>
      </w:r>
      <w:r>
        <w:rPr>
          <w:rFonts w:hint="eastAsia" w:ascii="仿宋_GB2312" w:hAnsi="仿宋" w:eastAsia="宋体" w:cs="仿宋"/>
          <w:sz w:val="32"/>
          <w:szCs w:val="32"/>
        </w:rPr>
        <w:t>40萬元人民幣以上（不含）對外支付時，銀行</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w:t>
      </w:r>
      <w:r>
        <w:rPr>
          <w:rFonts w:hint="eastAsia" w:ascii="仿宋_GB2312" w:hAnsi="仿宋" w:eastAsia="宋体" w:cs="仿宋"/>
          <w:sz w:val="32"/>
          <w:szCs w:val="32"/>
          <w:lang w:eastAsia="zh-CN"/>
        </w:rPr>
        <w:t>相關《</w:t>
      </w:r>
      <w:r>
        <w:rPr>
          <w:rFonts w:hint="eastAsia" w:ascii="仿宋_GB2312" w:hAnsi="仿宋" w:eastAsia="宋体" w:cs="仿宋"/>
          <w:sz w:val="32"/>
          <w:szCs w:val="32"/>
        </w:rPr>
        <w:t>服務貿易等專案對外支付</w:t>
      </w:r>
      <w:r>
        <w:rPr>
          <w:rFonts w:hint="eastAsia" w:ascii="仿宋_GB2312" w:hAnsi="仿宋" w:eastAsia="宋体" w:cs="仿宋"/>
          <w:sz w:val="32"/>
          <w:szCs w:val="32"/>
          <w:lang w:eastAsia="zh-CN"/>
        </w:rPr>
        <w:t>稅務備案表》（以下簡稱“備案表”）編號和驗證碼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稅務備案</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，《備案表》</w:t>
      </w:r>
      <w:r>
        <w:rPr>
          <w:rFonts w:hint="eastAsia" w:ascii="仿宋_GB2312" w:hAnsi="仿宋" w:eastAsia="宋体" w:cs="仿宋"/>
          <w:i w:val="0"/>
          <w:kern w:val="2"/>
          <w:sz w:val="32"/>
          <w:szCs w:val="32"/>
          <w:u w:val="none"/>
          <w:lang w:val="en-US" w:eastAsia="zh-CN" w:bidi="ar"/>
        </w:rPr>
        <w:t>對應的合同付款總額應大於或等於客戶在同一合同下累計申請支付金額</w:t>
      </w:r>
      <w:r>
        <w:rPr>
          <w:rFonts w:hint="eastAsia" w:ascii="仿宋_GB2312" w:hAnsi="仿宋" w:eastAsia="宋体" w:cs="仿宋"/>
          <w:sz w:val="32"/>
          <w:szCs w:val="32"/>
          <w:lang w:eastAsia="zh-CN"/>
        </w:rPr>
        <w:t>。</w:t>
      </w:r>
      <w:r>
        <w:rPr>
          <w:rFonts w:hint="eastAsia" w:ascii="仿宋_GB2312" w:hAnsi="仿宋" w:eastAsia="宋体" w:cs="仿宋"/>
          <w:i w:val="0"/>
          <w:kern w:val="2"/>
          <w:sz w:val="32"/>
          <w:szCs w:val="32"/>
          <w:u w:val="none"/>
          <w:lang w:val="en-US" w:eastAsia="zh-CN" w:bidi="ar"/>
        </w:rPr>
        <w:t>如遇以下兩種情況，銀行可在審核服務貿易對外支付真實性、合規性後，先行為境內機構和個人辦理服務貿易對外支付及服務貿易外匯收支管理資訊申報，並根據情況留存後續核驗所需的稅務備案資訊或承諾書以補辦核驗手續，同時須在付匯當日向所在地人民銀行報告，並做好詳細台賬記錄和後續補核驗手續，留存6個月備查：</w:t>
      </w:r>
    </w:p>
    <w:p>
      <w:pPr>
        <w:keepNext w:val="0"/>
        <w:keepLines w:val="0"/>
        <w:widowControl/>
        <w:suppressLineNumbers w:val="0"/>
        <w:ind w:firstLine="640" w:firstLineChars="200"/>
        <w:jc w:val="left"/>
        <w:textAlignment w:val="center"/>
        <w:rPr>
          <w:rFonts w:hint="eastAsia" w:ascii="仿宋_GB2312" w:hAnsi="仿宋" w:eastAsia="仿宋_GB2312" w:cs="仿宋"/>
          <w:i w:val="0"/>
          <w:kern w:val="2"/>
          <w:sz w:val="32"/>
          <w:szCs w:val="32"/>
          <w:u w:val="none"/>
          <w:lang w:val="en-US" w:eastAsia="zh-CN" w:bidi="ar"/>
        </w:rPr>
      </w:pPr>
      <w:r>
        <w:rPr>
          <w:rFonts w:hint="eastAsia" w:ascii="仿宋_GB2312" w:hAnsi="仿宋" w:eastAsia="宋体" w:cs="仿宋"/>
          <w:i w:val="0"/>
          <w:kern w:val="2"/>
          <w:sz w:val="32"/>
          <w:szCs w:val="32"/>
          <w:u w:val="none"/>
          <w:lang w:val="en-US" w:eastAsia="zh-CN" w:bidi="ar"/>
        </w:rPr>
        <w:t>（1）境內機構和個人已經辦理稅務備案（含升級前）且可以提供核驗所需的稅務備案資訊，但因系統故障等問題並經多次嘗試仍無法辦理稅務備案資訊核驗；</w:t>
      </w:r>
    </w:p>
    <w:p>
      <w:pPr>
        <w:widowControl/>
        <w:adjustRightInd/>
        <w:snapToGrid/>
        <w:spacing w:line="240" w:lineRule="auto"/>
        <w:ind w:firstLine="640" w:firstLineChars="200"/>
        <w:jc w:val="left"/>
        <w:textAlignment w:val="center"/>
        <w:rPr>
          <w:rFonts w:hint="eastAsia" w:ascii="仿宋_GB2312" w:hAnsi="仿宋" w:eastAsia="仿宋_GB2312" w:cs="仿宋"/>
          <w:sz w:val="32"/>
          <w:szCs w:val="32"/>
        </w:rPr>
      </w:pPr>
      <w:r>
        <w:rPr>
          <w:rFonts w:hint="eastAsia" w:ascii="仿宋_GB2312" w:hAnsi="仿宋" w:eastAsia="宋体" w:cs="仿宋"/>
          <w:i w:val="0"/>
          <w:kern w:val="2"/>
          <w:sz w:val="32"/>
          <w:szCs w:val="32"/>
          <w:u w:val="none"/>
          <w:lang w:val="en-US" w:eastAsia="zh-CN" w:bidi="ar"/>
        </w:rPr>
        <w:t>（2）境內機構和個人辦理緊急服務貿易對外付匯但因客觀原因無法及時辦理稅務備案，應審核企業承諾書，企業承諾及時補辦稅務備案手續並將稅務備案資訊通知銀行。</w:t>
      </w:r>
    </w:p>
    <w:p>
      <w:pPr>
        <w:adjustRightInd w:val="0"/>
        <w:snapToGrid w:val="0"/>
        <w:spacing w:line="560" w:lineRule="exact"/>
        <w:ind w:firstLine="640" w:firstLineChars="200"/>
        <w:rPr>
          <w:rFonts w:ascii="仿宋_GB2312" w:hAnsi="仿宋" w:eastAsia="仿宋_GB2312" w:cs="仿宋"/>
          <w:sz w:val="32"/>
          <w:szCs w:val="32"/>
        </w:rPr>
      </w:pPr>
      <w:r>
        <w:rPr>
          <w:rFonts w:ascii="仿宋_GB2312" w:hAnsi="仿宋" w:eastAsia="宋体" w:cs="仿宋"/>
          <w:sz w:val="32"/>
          <w:szCs w:val="32"/>
        </w:rPr>
        <w:t>6.</w:t>
      </w:r>
      <w:r>
        <w:rPr>
          <w:rFonts w:hint="eastAsia" w:ascii="仿宋_GB2312" w:hAnsi="仿宋" w:eastAsia="宋体" w:cs="仿宋"/>
          <w:sz w:val="32"/>
          <w:szCs w:val="32"/>
        </w:rPr>
        <w:t>銀行根據具體業務特徵要求的其他真實性證明材料。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（二）審核原則</w:t>
      </w:r>
    </w:p>
    <w:p>
      <w:pPr>
        <w:adjustRightInd w:val="0"/>
        <w:snapToGrid w:val="0"/>
        <w:spacing w:line="560" w:lineRule="exact"/>
        <w:ind w:firstLine="640" w:firstLineChars="200"/>
        <w:rPr>
          <w:rFonts w:ascii="仿宋_GB2312" w:hAnsi="仿宋" w:eastAsia="仿宋_GB2312" w:cs="仿宋"/>
          <w:sz w:val="32"/>
          <w:szCs w:val="32"/>
        </w:rPr>
      </w:pPr>
      <w:r>
        <w:rPr>
          <w:rFonts w:ascii="仿宋_GB2312" w:hAnsi="仿宋" w:eastAsia="宋体" w:cs="仿宋"/>
          <w:sz w:val="32"/>
          <w:szCs w:val="32"/>
        </w:rPr>
        <w:t>1.</w:t>
      </w:r>
      <w:r>
        <w:rPr>
          <w:rFonts w:hint="eastAsia" w:ascii="仿宋_GB2312" w:hAnsi="仿宋" w:eastAsia="宋体" w:cs="仿宋"/>
          <w:sz w:val="32"/>
          <w:szCs w:val="32"/>
        </w:rPr>
        <w:t>銀行辦理服務貿易跨境人民幣業務時，應嚴格履行展業原則，根據客戶分類情況，對企業提交的服務貿易交易單證的真實性及其與服務貿易跨境人民幣收支的一致性進行合理審查（對於關注客戶，當幣種不一致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要求提供相關真實性、合理性證明材料），防範單證被違規重複使用。對關注客戶和風險提示的業務，應執行更嚴格的單證審核標準，採取強化審查措施。</w:t>
      </w:r>
    </w:p>
    <w:p>
      <w:pPr>
        <w:adjustRightInd w:val="0"/>
        <w:snapToGrid w:val="0"/>
        <w:spacing w:line="560" w:lineRule="exact"/>
        <w:ind w:firstLine="640" w:firstLineChars="200"/>
        <w:rPr>
          <w:rFonts w:ascii="仿宋_GB2312" w:hAnsi="仿宋" w:eastAsia="仿宋_GB2312" w:cs="宋体"/>
          <w:kern w:val="0"/>
          <w:sz w:val="32"/>
          <w:szCs w:val="32"/>
        </w:rPr>
      </w:pPr>
      <w:r>
        <w:rPr>
          <w:rFonts w:ascii="仿宋_GB2312" w:hAnsi="仿宋" w:eastAsia="宋体" w:cs="宋体"/>
          <w:kern w:val="0"/>
          <w:sz w:val="32"/>
          <w:szCs w:val="32"/>
        </w:rPr>
        <w:t>2.</w:t>
      </w:r>
      <w:r>
        <w:rPr>
          <w:rFonts w:hint="eastAsia" w:ascii="仿宋_GB2312" w:hAnsi="仿宋" w:eastAsia="宋体" w:cs="宋体"/>
          <w:kern w:val="0"/>
          <w:sz w:val="32"/>
          <w:szCs w:val="32"/>
        </w:rPr>
        <w:t>支持企業使用人民幣跨境結算。凡依法可以使用外匯結算的跨境交易，企業都可以使用人民幣結算。銀行應以服務實體經濟、促進貿易便利化為導向，根據跨境人民幣政策，創新人民幣金融產品，提升金融服務能力，充分滿足客戶真實、合規的人民幣跨境業務需求。</w:t>
      </w:r>
    </w:p>
    <w:p>
      <w:pPr>
        <w:adjustRightInd w:val="0"/>
        <w:snapToGrid w:val="0"/>
        <w:spacing w:line="560" w:lineRule="exact"/>
        <w:ind w:firstLine="640" w:firstLineChars="200"/>
        <w:rPr>
          <w:rFonts w:ascii="仿宋_GB2312" w:hAnsi="仿宋" w:eastAsia="仿宋_GB2312" w:cs="宋体"/>
          <w:kern w:val="0"/>
          <w:sz w:val="32"/>
          <w:szCs w:val="32"/>
        </w:rPr>
      </w:pPr>
      <w:r>
        <w:rPr>
          <w:rFonts w:ascii="仿宋_GB2312" w:hAnsi="仿宋" w:eastAsia="宋体" w:cs="宋体"/>
          <w:kern w:val="0"/>
          <w:sz w:val="32"/>
          <w:szCs w:val="32"/>
        </w:rPr>
        <w:t>3.</w:t>
      </w:r>
      <w:r>
        <w:rPr>
          <w:rFonts w:hint="eastAsia" w:ascii="仿宋_GB2312" w:hAnsi="仿宋" w:eastAsia="宋体" w:cs="宋体"/>
          <w:kern w:val="0"/>
          <w:sz w:val="32"/>
          <w:szCs w:val="32"/>
        </w:rPr>
        <w:t>境內銀行在滿足交易資訊採集、真實性審核的條件下，可按相關規定憑交易電子資訊為跨境電子商務等貿易新業態市場主體提供服務貿易及其他經常項下跨境人民幣結算服務。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（三）審核要點</w:t>
      </w:r>
    </w:p>
    <w:p>
      <w:pPr>
        <w:adjustRightInd w:val="0"/>
        <w:snapToGrid w:val="0"/>
        <w:spacing w:line="560" w:lineRule="exact"/>
        <w:ind w:firstLine="640" w:firstLineChars="200"/>
        <w:rPr>
          <w:rFonts w:ascii="仿宋_GB2312" w:hAnsi="仿宋" w:eastAsia="仿宋_GB2312" w:cs="仿宋"/>
          <w:sz w:val="32"/>
          <w:szCs w:val="32"/>
        </w:rPr>
      </w:pPr>
      <w:r>
        <w:rPr>
          <w:rFonts w:ascii="仿宋_GB2312" w:hAnsi="仿宋" w:eastAsia="宋体" w:cs="仿宋"/>
          <w:sz w:val="32"/>
          <w:szCs w:val="32"/>
        </w:rPr>
        <w:t>1.</w:t>
      </w:r>
      <w:r>
        <w:rPr>
          <w:rFonts w:hint="eastAsia" w:ascii="仿宋_GB2312" w:hAnsi="仿宋" w:eastAsia="宋体" w:cs="仿宋"/>
          <w:sz w:val="32"/>
          <w:szCs w:val="32"/>
        </w:rPr>
        <w:t>交易單證可以是紙質形式或者是符合法律法規規定且被銀行認可的電子形式。由境內機構或個人單方面出具的、通過網路下載或傳真的交易單證，應由提交人加蓋具有法律效力的印章或簽字證明，包括具有法律效力的電子簽章。</w:t>
      </w:r>
    </w:p>
    <w:p>
      <w:pPr>
        <w:adjustRightInd w:val="0"/>
        <w:snapToGrid w:val="0"/>
        <w:spacing w:line="560" w:lineRule="exact"/>
        <w:ind w:firstLine="640" w:firstLineChars="200"/>
        <w:rPr>
          <w:rFonts w:ascii="仿宋_GB2312" w:hAnsi="仿宋" w:eastAsia="仿宋_GB2312" w:cs="仿宋"/>
          <w:sz w:val="32"/>
          <w:szCs w:val="32"/>
        </w:rPr>
      </w:pPr>
      <w:r>
        <w:rPr>
          <w:rFonts w:ascii="仿宋_GB2312" w:hAnsi="仿宋" w:eastAsia="宋体" w:cs="仿宋"/>
          <w:sz w:val="32"/>
          <w:szCs w:val="32"/>
        </w:rPr>
        <w:t>2.</w:t>
      </w:r>
      <w:r>
        <w:rPr>
          <w:rFonts w:hint="eastAsia" w:ascii="仿宋_GB2312" w:hAnsi="仿宋" w:eastAsia="宋体" w:cs="仿宋"/>
          <w:sz w:val="32"/>
          <w:szCs w:val="32"/>
        </w:rPr>
        <w:t>金融機構辦理服務貿易跨境人民幣收支業務，應當將審查後的交易單證作為業務檔案留存5年備查。</w:t>
      </w:r>
    </w:p>
    <w:p>
      <w:pPr>
        <w:adjustRightInd w:val="0"/>
        <w:snapToGrid w:val="0"/>
        <w:spacing w:line="560" w:lineRule="exact"/>
        <w:ind w:firstLine="640" w:firstLineChars="200"/>
        <w:rPr>
          <w:rFonts w:ascii="仿宋" w:hAnsi="仿宋" w:eastAsia="仿宋" w:cs="仿宋"/>
          <w:sz w:val="30"/>
          <w:szCs w:val="30"/>
        </w:rPr>
      </w:pPr>
      <w:r>
        <w:rPr>
          <w:rFonts w:ascii="仿宋_GB2312" w:hAnsi="仿宋" w:eastAsia="宋体" w:cs="仿宋"/>
          <w:sz w:val="32"/>
          <w:szCs w:val="32"/>
        </w:rPr>
        <w:t>3.</w:t>
      </w:r>
      <w:r>
        <w:rPr>
          <w:rFonts w:hint="eastAsia" w:ascii="仿宋_GB2312" w:hAnsi="仿宋" w:eastAsia="宋体" w:cs="仿宋"/>
          <w:sz w:val="32"/>
          <w:szCs w:val="32"/>
        </w:rPr>
        <w:t>境內銀行可通過審核企業提交的具有法律效力的電子單證或電子資訊為企業辦理服務貿易跨境人民幣結算業務。銀行應確保電子單證或電子資訊的真實性、合規性以及使用的唯一性，並留存電子單證或電子資訊5年備查。</w:t>
      </w:r>
    </w:p>
    <w:p>
      <w:pPr>
        <w:pStyle w:val="3"/>
        <w:adjustRightInd w:val="0"/>
        <w:snapToGrid w:val="0"/>
        <w:spacing w:before="0" w:after="0" w:line="560" w:lineRule="exact"/>
        <w:ind w:firstLine="640" w:firstLineChars="200"/>
        <w:rPr>
          <w:rFonts w:ascii="黑体" w:hAnsi="黑体" w:cs="仿宋"/>
          <w:b w:val="0"/>
          <w:bCs w:val="0"/>
        </w:rPr>
      </w:pPr>
      <w:bookmarkStart w:id="20" w:name="_Toc462864822"/>
      <w:bookmarkStart w:id="21" w:name="_Toc506194398"/>
      <w:bookmarkStart w:id="22" w:name="_Toc462864504"/>
      <w:bookmarkStart w:id="23" w:name="_Toc462864646"/>
      <w:bookmarkStart w:id="24" w:name="_Toc65325573"/>
      <w:bookmarkStart w:id="25" w:name="_Toc462864741"/>
      <w:r>
        <w:rPr>
          <w:rFonts w:hint="eastAsia" w:ascii="黑体" w:hAnsi="黑体" w:eastAsia="宋体" w:cs="仿宋"/>
          <w:b w:val="0"/>
          <w:bCs w:val="0"/>
        </w:rPr>
        <w:t>五、風險提示</w:t>
      </w:r>
      <w:bookmarkEnd w:id="20"/>
      <w:bookmarkEnd w:id="21"/>
      <w:bookmarkEnd w:id="22"/>
      <w:bookmarkEnd w:id="23"/>
      <w:bookmarkEnd w:id="24"/>
      <w:bookmarkEnd w:id="25"/>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對具有下列異常特徵的業務，銀行應加強盡職調查，以更嚴格標準進行真實性審核及持續監控，並審慎辦理相關業務：</w:t>
      </w:r>
    </w:p>
    <w:p>
      <w:pPr>
        <w:adjustRightInd w:val="0"/>
        <w:snapToGrid w:val="0"/>
        <w:spacing w:line="560" w:lineRule="exact"/>
        <w:ind w:firstLine="640" w:firstLineChars="200"/>
        <w:rPr>
          <w:rFonts w:ascii="仿宋_GB2312" w:hAnsi="仿宋" w:eastAsia="仿宋_GB2312" w:cs="仿宋"/>
          <w:sz w:val="32"/>
          <w:szCs w:val="32"/>
          <w:highlight w:val="yellow"/>
        </w:rPr>
      </w:pPr>
      <w:r>
        <w:rPr>
          <w:rFonts w:hint="eastAsia" w:ascii="仿宋_GB2312" w:hAnsi="仿宋" w:eastAsia="宋体" w:cs="仿宋"/>
          <w:sz w:val="32"/>
          <w:szCs w:val="32"/>
        </w:rPr>
        <w:t>1.高頻交易。單筆40萬元以內、接近40萬元且收支頻率較高的業務，應要求交易主體提交能證明其收支行為真實性、合理性的相關證明材料。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2.40萬元以下疑似分拆交易。短期內頻繁與境外同一收（付）款方辦理跨境人民幣收支業務的，應從分拆支付的必要性和合理性等角度盡職審查，發現可疑跡象應對其接近40萬元業務採取強化審查措施，並及時向所屬地人民銀行報告。</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3.關聯交易。應從歷史交易記錄、價格公允性、資金流向等方面，對交易背景的真實性和關聯交易的合理性盡職審查。</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4.其他需關注的情形。</w:t>
      </w:r>
    </w:p>
    <w:p>
      <w:pPr>
        <w:pStyle w:val="2"/>
        <w:spacing w:line="560" w:lineRule="exact"/>
        <w:ind w:firstLine="0" w:firstLineChars="0"/>
        <w:rPr>
          <w:rFonts w:ascii="仿宋" w:hAnsi="仿宋" w:eastAsia="仿宋"/>
          <w:sz w:val="30"/>
        </w:rPr>
      </w:pPr>
      <w:r>
        <w:rPr>
          <w:rFonts w:ascii="仿宋" w:hAnsi="仿宋" w:eastAsia="仿宋"/>
          <w:sz w:val="30"/>
        </w:rPr>
        <w:br w:type="page"/>
      </w:r>
      <w:bookmarkStart w:id="26" w:name="_Toc506194399"/>
      <w:bookmarkStart w:id="27" w:name="_Toc38028366"/>
      <w:bookmarkStart w:id="28" w:name="_Toc65325574"/>
      <w:r>
        <w:rPr>
          <w:rFonts w:hint="eastAsia" w:eastAsia="宋体"/>
          <w:sz w:val="44"/>
          <w:szCs w:val="40"/>
        </w:rPr>
        <w:t>第二部分 服務貿易及其他經常專案匯出業務具體審核規範</w:t>
      </w:r>
      <w:bookmarkEnd w:id="26"/>
      <w:bookmarkEnd w:id="27"/>
      <w:bookmarkEnd w:id="28"/>
    </w:p>
    <w:p>
      <w:pPr>
        <w:adjustRightInd w:val="0"/>
        <w:snapToGrid w:val="0"/>
        <w:spacing w:line="560" w:lineRule="exact"/>
        <w:ind w:firstLine="600" w:firstLineChars="200"/>
        <w:rPr>
          <w:rFonts w:ascii="仿宋" w:hAnsi="仿宋" w:eastAsia="仿宋" w:cs="仿宋"/>
          <w:sz w:val="30"/>
          <w:szCs w:val="30"/>
        </w:rPr>
      </w:pPr>
    </w:p>
    <w:p>
      <w:pPr>
        <w:pStyle w:val="3"/>
        <w:adjustRightInd w:val="0"/>
        <w:snapToGrid w:val="0"/>
        <w:spacing w:before="0" w:after="0" w:line="560" w:lineRule="exact"/>
        <w:ind w:firstLine="640" w:firstLineChars="200"/>
        <w:rPr>
          <w:rFonts w:ascii="黑体" w:hAnsi="黑体" w:cs="仿宋"/>
          <w:b w:val="0"/>
          <w:bCs w:val="0"/>
        </w:rPr>
      </w:pPr>
      <w:bookmarkStart w:id="29" w:name="_Toc506194400"/>
      <w:bookmarkStart w:id="30" w:name="_Toc65325575"/>
      <w:r>
        <w:rPr>
          <w:rFonts w:hint="eastAsia" w:ascii="黑体" w:hAnsi="黑体" w:eastAsia="宋体" w:cs="仿宋"/>
          <w:b w:val="0"/>
          <w:bCs w:val="0"/>
        </w:rPr>
        <w:t>一、單筆40萬元（含）以下的服務貿易跨境人民幣匯出</w:t>
      </w:r>
      <w:bookmarkEnd w:id="29"/>
      <w:bookmarkEnd w:id="30"/>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（一）業務定義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服務貿易是指跨境提供服務，主要包括商業性服務、通信服務、建築服務、銷售服務、教育服務、環境服務、金融服務、健康及社會服務、旅遊及相關服務、文娛及體育服務、交通運輸服務及其他服務。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（二）政策依據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ascii="仿宋_GB2312" w:hAnsi="仿宋" w:eastAsia="宋体" w:cs="仿宋"/>
          <w:sz w:val="32"/>
          <w:szCs w:val="32"/>
        </w:rPr>
        <w:t>.</w:t>
      </w:r>
      <w:r>
        <w:rPr>
          <w:rFonts w:hint="eastAsia" w:ascii="仿宋_GB2312" w:hAnsi="仿宋" w:eastAsia="宋体" w:cs="仿宋"/>
          <w:sz w:val="32"/>
          <w:szCs w:val="32"/>
        </w:rPr>
        <w:t>《中國人民銀行、財政部、商務部、海關總署、國家稅務總局、銀監會</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w:t>
      </w:r>
      <w:r>
        <w:rPr>
          <w:rFonts w:ascii="仿宋_GB2312" w:hAnsi="仿宋" w:eastAsia="宋体" w:cs="仿宋"/>
          <w:sz w:val="32"/>
          <w:szCs w:val="32"/>
        </w:rPr>
        <w:t>.</w:t>
      </w:r>
      <w:r>
        <w:rPr>
          <w:rFonts w:hint="eastAsia" w:ascii="仿宋_GB2312" w:hAnsi="仿宋" w:eastAsia="宋体" w:cs="仿宋"/>
          <w:sz w:val="32"/>
          <w:szCs w:val="32"/>
        </w:rPr>
        <w:t>《中國人民銀行關於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val="en-US" w:eastAsia="zh-CN"/>
        </w:rPr>
        <w:t>4</w:t>
      </w:r>
      <w:r>
        <w:rPr>
          <w:rFonts w:ascii="仿宋_GB2312" w:hAnsi="仿宋" w:eastAsia="宋体" w:cs="仿宋"/>
          <w:sz w:val="32"/>
          <w:szCs w:val="32"/>
        </w:rPr>
        <w:t>.</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lang w:val="en-US" w:eastAsia="zh-CN"/>
        </w:rPr>
        <w:t>5</w:t>
      </w:r>
      <w:r>
        <w:rPr>
          <w:rFonts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lang w:val="en-US" w:eastAsia="zh-CN"/>
        </w:rPr>
        <w:t>6</w:t>
      </w:r>
      <w:r>
        <w:rPr>
          <w:rFonts w:ascii="仿宋_GB2312" w:hAnsi="仿宋" w:eastAsia="宋体"/>
          <w:sz w:val="32"/>
          <w:szCs w:val="32"/>
        </w:rPr>
        <w:t>.</w:t>
      </w:r>
      <w:r>
        <w:rPr>
          <w:rFonts w:hint="eastAsia" w:ascii="仿宋_GB2312" w:hAnsi="仿宋" w:eastAsia="宋体"/>
          <w:sz w:val="32"/>
          <w:szCs w:val="32"/>
        </w:rPr>
        <w:t>《中國人民銀行 國家發展和改革委員會 商務部 國務院國有資產監督管理委員會 中國銀行保險監督管理委員會 國家外匯管理局</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（三）客戶准入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業務經營範圍符合國家有關規定，客戶具備相應的業務資格或資質，基礎交易符合業務經營範圍。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（四）審核材料</w:t>
      </w:r>
      <w:r>
        <w:rPr>
          <w:rFonts w:hint="eastAsia" w:ascii="仿宋_GB2312" w:eastAsia="宋体"/>
          <w:b/>
          <w:bCs/>
          <w:sz w:val="32"/>
          <w:szCs w:val="32"/>
        </w:rPr>
        <w:t> </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跨境人民幣結算付款說明：可使用企業提交的紙質形式或電子形式的收付款指令代替，企業提交的收付款指令應滿足國際收支申報和跨境人民幣業務資訊報送要求。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（五）審核及操作要點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val="zh-CN"/>
        </w:rPr>
        <w:t>1</w:t>
      </w:r>
      <w:r>
        <w:rPr>
          <w:rFonts w:ascii="仿宋_GB2312" w:hAnsi="仿宋" w:eastAsia="宋体" w:cs="仿宋"/>
          <w:sz w:val="32"/>
          <w:szCs w:val="32"/>
          <w:lang w:val="zh-CN"/>
        </w:rPr>
        <w:t>.</w:t>
      </w:r>
      <w:r>
        <w:rPr>
          <w:rFonts w:hint="eastAsia" w:ascii="仿宋_GB2312" w:hAnsi="仿宋" w:eastAsia="宋体" w:cs="仿宋"/>
          <w:sz w:val="32"/>
          <w:szCs w:val="32"/>
        </w:rPr>
        <w:t>可信客戶辦理單筆40萬元（含）以下的服務貿易跨境人民幣匯出，銀行原則上可不審核交易單證，但對於資金性質不明確的業務，銀行應要求境內機構和境內個人提交交易單證進行合理審查，交易單證可參考40萬元以上的服務貿易資料。</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2</w:t>
      </w:r>
      <w:r>
        <w:rPr>
          <w:rFonts w:ascii="仿宋_GB2312" w:hAnsi="仿宋" w:eastAsia="宋体" w:cs="仿宋"/>
          <w:sz w:val="32"/>
          <w:szCs w:val="32"/>
        </w:rPr>
        <w:t>.</w:t>
      </w:r>
      <w:r>
        <w:rPr>
          <w:rFonts w:hint="eastAsia" w:ascii="仿宋_GB2312" w:hAnsi="仿宋" w:eastAsia="宋体" w:cs="仿宋"/>
          <w:sz w:val="32"/>
          <w:szCs w:val="32"/>
        </w:rPr>
        <w:t>關注客戶辦理單筆40萬元（含）以下的服務貿易跨境人民幣匯出，均按照可信客戶單筆40萬元（不含）以上的服務貿易跨境人民幣匯出業務標準審查，且不得適用針對優質企業的簡化流程。</w:t>
      </w:r>
    </w:p>
    <w:p>
      <w:pPr>
        <w:pStyle w:val="3"/>
        <w:adjustRightInd w:val="0"/>
        <w:snapToGrid w:val="0"/>
        <w:spacing w:before="0" w:after="0" w:line="560" w:lineRule="exact"/>
        <w:ind w:firstLine="640" w:firstLineChars="200"/>
        <w:rPr>
          <w:rFonts w:ascii="黑体" w:hAnsi="黑体" w:cs="仿宋"/>
          <w:b w:val="0"/>
          <w:bCs w:val="0"/>
        </w:rPr>
      </w:pPr>
      <w:bookmarkStart w:id="31" w:name="_Toc506194401"/>
      <w:bookmarkStart w:id="32" w:name="_Toc65325576"/>
      <w:r>
        <w:rPr>
          <w:rFonts w:hint="eastAsia" w:ascii="黑体" w:hAnsi="黑体" w:eastAsia="宋体" w:cs="仿宋"/>
          <w:b w:val="0"/>
          <w:bCs w:val="0"/>
        </w:rPr>
        <w:t>二、單筆40萬元（不含）以上的服務貿易跨境人民幣匯出</w:t>
      </w:r>
      <w:bookmarkEnd w:id="31"/>
      <w:bookmarkEnd w:id="32"/>
    </w:p>
    <w:p>
      <w:pPr>
        <w:pStyle w:val="4"/>
        <w:adjustRightInd w:val="0"/>
        <w:snapToGrid w:val="0"/>
        <w:spacing w:before="0" w:after="0" w:line="560" w:lineRule="exact"/>
        <w:ind w:firstLine="643" w:firstLineChars="200"/>
        <w:jc w:val="left"/>
        <w:rPr>
          <w:rFonts w:ascii="仿宋_GB2312" w:hAnsi="黑体" w:eastAsia="仿宋_GB2312" w:cs="仿宋"/>
        </w:rPr>
      </w:pPr>
      <w:bookmarkStart w:id="33" w:name="_Toc506194402"/>
      <w:bookmarkStart w:id="34" w:name="_Toc65325577"/>
      <w:r>
        <w:rPr>
          <w:rFonts w:hint="eastAsia" w:ascii="仿宋_GB2312" w:hAnsi="黑体" w:eastAsia="宋体" w:cs="仿宋"/>
        </w:rPr>
        <w:t>（一）國際運輸項下資金匯出</w:t>
      </w:r>
      <w:bookmarkEnd w:id="33"/>
      <w:bookmarkEnd w:id="34"/>
    </w:p>
    <w:p>
      <w:pPr>
        <w:adjustRightInd w:val="0"/>
        <w:snapToGrid w:val="0"/>
        <w:spacing w:line="560" w:lineRule="exact"/>
        <w:ind w:firstLine="643" w:firstLineChars="200"/>
        <w:rPr>
          <w:rFonts w:ascii="仿宋" w:hAnsi="仿宋" w:eastAsia="仿宋" w:cs="仿宋"/>
          <w:b/>
          <w:bCs/>
          <w:sz w:val="32"/>
          <w:szCs w:val="32"/>
        </w:rPr>
      </w:pPr>
      <w:r>
        <w:rPr>
          <w:rFonts w:hint="eastAsia" w:ascii="仿宋" w:hAnsi="仿宋" w:eastAsia="宋体" w:cs="仿宋"/>
          <w:b/>
          <w:bCs/>
          <w:sz w:val="32"/>
          <w:szCs w:val="32"/>
        </w:rPr>
        <w:t>1.業務定義</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宋体" w:cs="仿宋"/>
          <w:sz w:val="32"/>
          <w:szCs w:val="32"/>
        </w:rPr>
        <w:t>海運指使用船舶通過海上航道在不同國家和地區的港口之間提供運輸服務的一種方式，包括各項海洋運輸服務以及多式聯運中海洋運輸部分。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宋体" w:cs="仿宋"/>
          <w:sz w:val="32"/>
          <w:szCs w:val="32"/>
        </w:rPr>
        <w:t>空運指使用飛機或其他航空器作為載體在不同國家和地區之間提供運輸服務的一種方式，包括各項空中運輸服務以及多式聯運中空中運輸部分。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宋体" w:cs="仿宋"/>
          <w:sz w:val="32"/>
          <w:szCs w:val="32"/>
        </w:rPr>
        <w:t>其他運輸方式，指使用除海運或空運外的其他運輸方式提供運輸服務的一種方式，包括陸地、國內的水道運輸、外層空間及管道運輸、火箭發射以及多式聯運中的相應部分等。</w:t>
      </w:r>
    </w:p>
    <w:p>
      <w:pPr>
        <w:adjustRightInd w:val="0"/>
        <w:snapToGrid w:val="0"/>
        <w:spacing w:line="560" w:lineRule="exact"/>
        <w:ind w:firstLine="640" w:firstLineChars="200"/>
        <w:rPr>
          <w:rFonts w:ascii="仿宋" w:hAnsi="仿宋" w:eastAsia="仿宋" w:cs="仿宋"/>
          <w:sz w:val="30"/>
          <w:szCs w:val="30"/>
        </w:rPr>
      </w:pPr>
      <w:r>
        <w:rPr>
          <w:rFonts w:hint="eastAsia" w:ascii="仿宋" w:hAnsi="仿宋" w:eastAsia="宋体" w:cs="仿宋"/>
          <w:sz w:val="32"/>
          <w:szCs w:val="32"/>
        </w:rPr>
        <w:t>郵政及寄遞服務指信件、報紙、刊物、小冊子、其他印刷物、郵包和包裹的取件、運輸和遞送，郵局櫃檯和郵箱租賃服務。包括郵局櫃檯服務，如郵票和郵政匯票的銷售、留局待取服務、電報服務等；快遞和上門送貨。</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（2）《中國人民銀行關於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eastAsia="zh-CN"/>
        </w:rPr>
        <w:t>（</w:t>
      </w: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4</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w:t>
      </w:r>
      <w:r>
        <w:rPr>
          <w:rFonts w:hint="eastAsia" w:ascii="仿宋_GB2312" w:hAnsi="仿宋" w:eastAsia="宋体"/>
          <w:sz w:val="32"/>
          <w:szCs w:val="32"/>
          <w:lang w:val="en-US" w:eastAsia="zh-CN"/>
        </w:rPr>
        <w:t>6</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0"/>
          <w:szCs w:val="30"/>
        </w:rPr>
      </w:pPr>
      <w:r>
        <w:rPr>
          <w:rFonts w:hint="eastAsia" w:ascii="仿宋_GB2312" w:hAnsi="仿宋" w:eastAsia="宋体" w:cs="仿宋"/>
          <w:sz w:val="32"/>
          <w:szCs w:val="32"/>
        </w:rPr>
        <w:t>業務經營範圍符合國家有關規定，客戶從事運輸服務具備相應的業務資格或資質，基礎交易符合業務經營範圍。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②運輸發票或運輸單據或運輸清單；</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③</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對於可信客戶中的優質企業，銀行也可在“展業三原則”基礎上實施簡化流程，憑上述第①項為其直接辦理跨境結算。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①海運</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一般情況下可參考貿易價格條件判斷是否應支付運費，詳見下表。</w:t>
      </w:r>
    </w:p>
    <w:tbl>
      <w:tblPr>
        <w:tblStyle w:val="31"/>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722"/>
        <w:gridCol w:w="3133"/>
        <w:gridCol w:w="21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90" w:type="dxa"/>
            <w:vAlign w:val="center"/>
          </w:tcPr>
          <w:p>
            <w:pPr>
              <w:adjustRightInd w:val="0"/>
              <w:snapToGrid w:val="0"/>
              <w:spacing w:line="560" w:lineRule="exact"/>
              <w:jc w:val="center"/>
              <w:rPr>
                <w:rFonts w:ascii="仿宋" w:hAnsi="仿宋" w:eastAsia="仿宋" w:cs="仿宋"/>
                <w:b/>
                <w:sz w:val="28"/>
                <w:szCs w:val="30"/>
              </w:rPr>
            </w:pPr>
            <w:r>
              <w:rPr>
                <w:rFonts w:hint="eastAsia" w:ascii="仿宋" w:hAnsi="仿宋" w:eastAsia="宋体" w:cs="仿宋"/>
                <w:b/>
                <w:sz w:val="28"/>
                <w:szCs w:val="30"/>
              </w:rPr>
              <w:t>貨物移動方向</w:t>
            </w:r>
          </w:p>
        </w:tc>
        <w:tc>
          <w:tcPr>
            <w:tcW w:w="1722" w:type="dxa"/>
            <w:vAlign w:val="center"/>
          </w:tcPr>
          <w:p>
            <w:pPr>
              <w:adjustRightInd w:val="0"/>
              <w:snapToGrid w:val="0"/>
              <w:spacing w:line="560" w:lineRule="exact"/>
              <w:jc w:val="center"/>
              <w:rPr>
                <w:rFonts w:ascii="仿宋" w:hAnsi="仿宋" w:eastAsia="仿宋" w:cs="仿宋"/>
                <w:b/>
                <w:sz w:val="28"/>
                <w:szCs w:val="30"/>
              </w:rPr>
            </w:pPr>
            <w:r>
              <w:rPr>
                <w:rFonts w:hint="eastAsia" w:ascii="仿宋" w:hAnsi="仿宋" w:eastAsia="宋体" w:cs="仿宋"/>
                <w:b/>
                <w:sz w:val="28"/>
                <w:szCs w:val="30"/>
              </w:rPr>
              <w:t>價格條件</w:t>
            </w:r>
          </w:p>
        </w:tc>
        <w:tc>
          <w:tcPr>
            <w:tcW w:w="3133" w:type="dxa"/>
            <w:vAlign w:val="center"/>
          </w:tcPr>
          <w:p>
            <w:pPr>
              <w:adjustRightInd w:val="0"/>
              <w:snapToGrid w:val="0"/>
              <w:spacing w:line="560" w:lineRule="exact"/>
              <w:jc w:val="center"/>
              <w:rPr>
                <w:rFonts w:ascii="仿宋" w:hAnsi="仿宋" w:eastAsia="仿宋" w:cs="仿宋"/>
                <w:b/>
                <w:sz w:val="28"/>
                <w:szCs w:val="30"/>
              </w:rPr>
            </w:pPr>
            <w:r>
              <w:rPr>
                <w:rFonts w:hint="eastAsia" w:ascii="仿宋" w:hAnsi="仿宋" w:eastAsia="宋体" w:cs="仿宋"/>
                <w:b/>
                <w:sz w:val="28"/>
                <w:szCs w:val="30"/>
              </w:rPr>
              <w:t>境內企業是否有義務租船或訂艙並支付到目的港的海運費</w:t>
            </w:r>
          </w:p>
        </w:tc>
        <w:tc>
          <w:tcPr>
            <w:tcW w:w="2177" w:type="dxa"/>
            <w:vAlign w:val="center"/>
          </w:tcPr>
          <w:p>
            <w:pPr>
              <w:adjustRightInd w:val="0"/>
              <w:snapToGrid w:val="0"/>
              <w:spacing w:line="560" w:lineRule="exact"/>
              <w:jc w:val="center"/>
              <w:rPr>
                <w:rFonts w:ascii="仿宋" w:hAnsi="仿宋" w:eastAsia="仿宋" w:cs="仿宋"/>
                <w:b/>
                <w:sz w:val="28"/>
                <w:szCs w:val="30"/>
              </w:rPr>
            </w:pPr>
            <w:r>
              <w:rPr>
                <w:rFonts w:hint="eastAsia" w:ascii="仿宋" w:hAnsi="仿宋" w:eastAsia="宋体" w:cs="仿宋"/>
                <w:b/>
                <w:sz w:val="28"/>
                <w:szCs w:val="30"/>
              </w:rPr>
              <w:t>報關單上是否記載運費資訊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出口</w:t>
            </w:r>
          </w:p>
        </w:tc>
        <w:tc>
          <w:tcPr>
            <w:tcW w:w="1722" w:type="dxa"/>
            <w:vAlign w:val="center"/>
          </w:tcPr>
          <w:p>
            <w:pPr>
              <w:adjustRightInd w:val="0"/>
              <w:snapToGrid w:val="0"/>
              <w:spacing w:line="560" w:lineRule="exact"/>
              <w:ind w:firstLine="560" w:firstLineChars="200"/>
              <w:rPr>
                <w:rFonts w:ascii="仿宋" w:hAnsi="仿宋" w:eastAsia="仿宋" w:cs="仿宋"/>
                <w:sz w:val="28"/>
                <w:szCs w:val="30"/>
              </w:rPr>
            </w:pPr>
            <w:r>
              <w:rPr>
                <w:rFonts w:hint="eastAsia" w:ascii="仿宋" w:hAnsi="仿宋" w:eastAsia="宋体" w:cs="仿宋"/>
                <w:sz w:val="28"/>
                <w:szCs w:val="30"/>
              </w:rPr>
              <w:t>FOB</w:t>
            </w:r>
          </w:p>
        </w:tc>
        <w:tc>
          <w:tcPr>
            <w:tcW w:w="3133"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否</w:t>
            </w:r>
          </w:p>
        </w:tc>
        <w:tc>
          <w:tcPr>
            <w:tcW w:w="2177"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adjustRightInd w:val="0"/>
              <w:snapToGrid w:val="0"/>
              <w:spacing w:line="560" w:lineRule="exact"/>
              <w:ind w:firstLine="560" w:firstLineChars="200"/>
              <w:jc w:val="center"/>
              <w:rPr>
                <w:rFonts w:ascii="仿宋" w:hAnsi="仿宋" w:eastAsia="仿宋" w:cs="仿宋"/>
                <w:sz w:val="28"/>
                <w:szCs w:val="30"/>
              </w:rPr>
            </w:pPr>
          </w:p>
        </w:tc>
        <w:tc>
          <w:tcPr>
            <w:tcW w:w="1722" w:type="dxa"/>
            <w:vAlign w:val="center"/>
          </w:tcPr>
          <w:p>
            <w:pPr>
              <w:adjustRightInd w:val="0"/>
              <w:snapToGrid w:val="0"/>
              <w:spacing w:line="560" w:lineRule="exact"/>
              <w:ind w:firstLine="560" w:firstLineChars="200"/>
              <w:rPr>
                <w:rFonts w:ascii="仿宋" w:hAnsi="仿宋" w:eastAsia="仿宋" w:cs="仿宋"/>
                <w:sz w:val="28"/>
                <w:szCs w:val="30"/>
              </w:rPr>
            </w:pPr>
            <w:r>
              <w:rPr>
                <w:rFonts w:hint="eastAsia" w:ascii="仿宋" w:hAnsi="仿宋" w:eastAsia="宋体" w:cs="仿宋"/>
                <w:sz w:val="28"/>
                <w:szCs w:val="30"/>
              </w:rPr>
              <w:t>CFR</w:t>
            </w:r>
          </w:p>
        </w:tc>
        <w:tc>
          <w:tcPr>
            <w:tcW w:w="3133"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是</w:t>
            </w:r>
          </w:p>
        </w:tc>
        <w:tc>
          <w:tcPr>
            <w:tcW w:w="2177"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adjustRightInd w:val="0"/>
              <w:snapToGrid w:val="0"/>
              <w:spacing w:line="560" w:lineRule="exact"/>
              <w:ind w:firstLine="560" w:firstLineChars="200"/>
              <w:jc w:val="center"/>
              <w:rPr>
                <w:rFonts w:ascii="仿宋" w:hAnsi="仿宋" w:eastAsia="仿宋" w:cs="仿宋"/>
                <w:sz w:val="28"/>
                <w:szCs w:val="30"/>
              </w:rPr>
            </w:pPr>
          </w:p>
        </w:tc>
        <w:tc>
          <w:tcPr>
            <w:tcW w:w="1722" w:type="dxa"/>
            <w:vAlign w:val="center"/>
          </w:tcPr>
          <w:p>
            <w:pPr>
              <w:adjustRightInd w:val="0"/>
              <w:snapToGrid w:val="0"/>
              <w:spacing w:line="560" w:lineRule="exact"/>
              <w:ind w:firstLine="560" w:firstLineChars="200"/>
              <w:rPr>
                <w:rFonts w:ascii="仿宋" w:hAnsi="仿宋" w:eastAsia="仿宋" w:cs="仿宋"/>
                <w:sz w:val="28"/>
                <w:szCs w:val="30"/>
              </w:rPr>
            </w:pPr>
            <w:r>
              <w:rPr>
                <w:rFonts w:hint="eastAsia" w:ascii="仿宋" w:hAnsi="仿宋" w:eastAsia="宋体" w:cs="仿宋"/>
                <w:sz w:val="28"/>
                <w:szCs w:val="30"/>
              </w:rPr>
              <w:t>CIF</w:t>
            </w:r>
          </w:p>
        </w:tc>
        <w:tc>
          <w:tcPr>
            <w:tcW w:w="3133"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是</w:t>
            </w:r>
          </w:p>
        </w:tc>
        <w:tc>
          <w:tcPr>
            <w:tcW w:w="2177"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進口</w:t>
            </w:r>
          </w:p>
        </w:tc>
        <w:tc>
          <w:tcPr>
            <w:tcW w:w="1722" w:type="dxa"/>
            <w:vAlign w:val="center"/>
          </w:tcPr>
          <w:p>
            <w:pPr>
              <w:adjustRightInd w:val="0"/>
              <w:snapToGrid w:val="0"/>
              <w:spacing w:line="560" w:lineRule="exact"/>
              <w:ind w:firstLine="560" w:firstLineChars="200"/>
              <w:rPr>
                <w:rFonts w:ascii="仿宋" w:hAnsi="仿宋" w:eastAsia="仿宋" w:cs="仿宋"/>
                <w:sz w:val="28"/>
                <w:szCs w:val="30"/>
              </w:rPr>
            </w:pPr>
            <w:r>
              <w:rPr>
                <w:rFonts w:hint="eastAsia" w:ascii="仿宋" w:hAnsi="仿宋" w:eastAsia="宋体" w:cs="仿宋"/>
                <w:sz w:val="28"/>
                <w:szCs w:val="30"/>
              </w:rPr>
              <w:t>FOB</w:t>
            </w:r>
          </w:p>
        </w:tc>
        <w:tc>
          <w:tcPr>
            <w:tcW w:w="3133"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是</w:t>
            </w:r>
          </w:p>
        </w:tc>
        <w:tc>
          <w:tcPr>
            <w:tcW w:w="2177"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adjustRightInd w:val="0"/>
              <w:snapToGrid w:val="0"/>
              <w:spacing w:line="560" w:lineRule="exact"/>
              <w:ind w:firstLine="560" w:firstLineChars="200"/>
              <w:jc w:val="center"/>
              <w:rPr>
                <w:rFonts w:ascii="仿宋" w:hAnsi="仿宋" w:eastAsia="仿宋" w:cs="仿宋"/>
                <w:sz w:val="28"/>
                <w:szCs w:val="30"/>
              </w:rPr>
            </w:pPr>
          </w:p>
        </w:tc>
        <w:tc>
          <w:tcPr>
            <w:tcW w:w="1722" w:type="dxa"/>
            <w:vAlign w:val="center"/>
          </w:tcPr>
          <w:p>
            <w:pPr>
              <w:adjustRightInd w:val="0"/>
              <w:snapToGrid w:val="0"/>
              <w:spacing w:line="560" w:lineRule="exact"/>
              <w:ind w:firstLine="560" w:firstLineChars="200"/>
              <w:rPr>
                <w:rFonts w:ascii="仿宋" w:hAnsi="仿宋" w:eastAsia="仿宋" w:cs="仿宋"/>
                <w:sz w:val="28"/>
                <w:szCs w:val="30"/>
              </w:rPr>
            </w:pPr>
            <w:r>
              <w:rPr>
                <w:rFonts w:hint="eastAsia" w:ascii="仿宋" w:hAnsi="仿宋" w:eastAsia="宋体" w:cs="仿宋"/>
                <w:sz w:val="28"/>
                <w:szCs w:val="30"/>
              </w:rPr>
              <w:t>CFR</w:t>
            </w:r>
          </w:p>
        </w:tc>
        <w:tc>
          <w:tcPr>
            <w:tcW w:w="3133"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否</w:t>
            </w:r>
          </w:p>
        </w:tc>
        <w:tc>
          <w:tcPr>
            <w:tcW w:w="2177"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adjustRightInd w:val="0"/>
              <w:snapToGrid w:val="0"/>
              <w:spacing w:line="560" w:lineRule="exact"/>
              <w:ind w:firstLine="560" w:firstLineChars="200"/>
              <w:jc w:val="center"/>
              <w:rPr>
                <w:rFonts w:ascii="仿宋" w:hAnsi="仿宋" w:eastAsia="仿宋" w:cs="仿宋"/>
                <w:sz w:val="28"/>
                <w:szCs w:val="30"/>
              </w:rPr>
            </w:pPr>
          </w:p>
        </w:tc>
        <w:tc>
          <w:tcPr>
            <w:tcW w:w="1722" w:type="dxa"/>
            <w:vAlign w:val="center"/>
          </w:tcPr>
          <w:p>
            <w:pPr>
              <w:adjustRightInd w:val="0"/>
              <w:snapToGrid w:val="0"/>
              <w:spacing w:line="560" w:lineRule="exact"/>
              <w:ind w:firstLine="560" w:firstLineChars="200"/>
              <w:rPr>
                <w:rFonts w:ascii="仿宋" w:hAnsi="仿宋" w:eastAsia="仿宋" w:cs="仿宋"/>
                <w:sz w:val="28"/>
                <w:szCs w:val="30"/>
              </w:rPr>
            </w:pPr>
            <w:r>
              <w:rPr>
                <w:rFonts w:hint="eastAsia" w:ascii="仿宋" w:hAnsi="仿宋" w:eastAsia="宋体" w:cs="仿宋"/>
                <w:sz w:val="28"/>
                <w:szCs w:val="30"/>
              </w:rPr>
              <w:t>CIF</w:t>
            </w:r>
          </w:p>
        </w:tc>
        <w:tc>
          <w:tcPr>
            <w:tcW w:w="3133"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否</w:t>
            </w:r>
          </w:p>
        </w:tc>
        <w:tc>
          <w:tcPr>
            <w:tcW w:w="2177" w:type="dxa"/>
            <w:vAlign w:val="center"/>
          </w:tcPr>
          <w:p>
            <w:pPr>
              <w:adjustRightInd w:val="0"/>
              <w:snapToGrid w:val="0"/>
              <w:spacing w:line="560" w:lineRule="exact"/>
              <w:jc w:val="center"/>
              <w:rPr>
                <w:rFonts w:ascii="仿宋" w:hAnsi="仿宋" w:eastAsia="仿宋" w:cs="仿宋"/>
                <w:sz w:val="28"/>
                <w:szCs w:val="30"/>
              </w:rPr>
            </w:pPr>
            <w:r>
              <w:rPr>
                <w:rFonts w:hint="eastAsia" w:ascii="仿宋" w:hAnsi="仿宋" w:eastAsia="宋体" w:cs="仿宋"/>
                <w:sz w:val="28"/>
                <w:szCs w:val="30"/>
              </w:rPr>
              <w:t>否</w:t>
            </w:r>
          </w:p>
        </w:tc>
      </w:tr>
    </w:tbl>
    <w:p>
      <w:pPr>
        <w:adjustRightInd w:val="0"/>
        <w:snapToGrid w:val="0"/>
        <w:spacing w:line="560" w:lineRule="exact"/>
        <w:ind w:firstLine="600" w:firstLineChars="200"/>
        <w:rPr>
          <w:rFonts w:ascii="仿宋" w:hAnsi="仿宋" w:eastAsia="仿宋" w:cs="仿宋"/>
          <w:sz w:val="30"/>
          <w:szCs w:val="30"/>
        </w:rPr>
      </w:pP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客戶為貨主的，應要求其提供運輸服務採購合同或發票；對於涉嫌虛構或分拆交易的，應與船運公司或海運代理企業核實單據真偽。</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客戶為海運代理企業的，應要求其提供運輸合同或協議、海運提單和境外船運公司提供的發票；對於涉嫌虛構或分拆交易的，應與貨主核實單據真偽。</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②空運</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客戶為貨主的，應要求其提供進出口合同、運輸發票；對於涉嫌虛構或分拆交易的，應與空運公司或空運代理企業核實單據真偽。</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客戶為空運代理企業的，應要求其提供運輸合同或協議、空運單據和運輸發票；對於涉嫌虛構或分拆交易的，應與貨主核實單據真偽。</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③其他運輸方式、郵政及寄遞服務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應要求其提供運輸或郵政或寄遞運輸相關單據材料；涉嫌虛構或分拆交易的，應與運輸公司或運輸代理商核實單據真偽。</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（1）應對企業的業務性質、生產經營規模或貨物貿易涉外收付規模、運輸內容和運輸路程等情況進行全面瞭解和分析，以幫助判斷相關服務貿易收支的合理性。</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2）原則上需審核運輸發票或運輸單據，銀行僅在對客戶有充分瞭解且客戶單筆付款對應較多的運輸發票或運輸單據時，方可以客戶提供並蓋章的運輸清單（逐筆列明運輸發票或運輸單據號）代替運輸發票或運輸單據。</w:t>
      </w:r>
    </w:p>
    <w:p>
      <w:pPr>
        <w:pStyle w:val="4"/>
        <w:adjustRightInd w:val="0"/>
        <w:snapToGrid w:val="0"/>
        <w:spacing w:before="0" w:after="0" w:line="560" w:lineRule="exact"/>
        <w:ind w:firstLine="643" w:firstLineChars="200"/>
        <w:rPr>
          <w:rFonts w:ascii="仿宋_GB2312" w:hAnsi="黑体" w:eastAsia="仿宋_GB2312" w:cs="仿宋"/>
        </w:rPr>
      </w:pPr>
      <w:bookmarkStart w:id="35" w:name="_Toc65325578"/>
      <w:bookmarkStart w:id="36" w:name="_Toc506194403"/>
      <w:r>
        <w:rPr>
          <w:rFonts w:hint="eastAsia" w:ascii="仿宋_GB2312" w:hAnsi="黑体" w:eastAsia="宋体" w:cs="仿宋"/>
        </w:rPr>
        <w:t>（二）對外勞務合作或對外承包工程項下資金匯出</w:t>
      </w:r>
      <w:bookmarkEnd w:id="35"/>
      <w:bookmarkEnd w:id="36"/>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對外勞務合作是指組織勞務人員赴其他國家或者地區為境外主體工作的經營性活動；對外承包工程是指中國的企業或其他單位承包境外建設工程專案的活動。</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（2）《中國人民銀行關於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eastAsia="zh-CN"/>
        </w:rPr>
        <w:t>（</w:t>
      </w: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4</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w:t>
      </w:r>
      <w:r>
        <w:rPr>
          <w:rFonts w:hint="eastAsia" w:ascii="仿宋_GB2312" w:hAnsi="仿宋" w:eastAsia="宋体"/>
          <w:sz w:val="32"/>
          <w:szCs w:val="32"/>
          <w:lang w:val="en-US" w:eastAsia="zh-CN"/>
        </w:rPr>
        <w:t>6</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業務經營範圍符合國家有關規定，客戶從事對外勞務合作或對外承包工程具備相應的業務資格或資質，基礎交易符合業務經營範圍。對外承包工程企業進行投（議）標應完成對外承包工程專案備案。</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②合同（協議）或勞務預算表（工程預算表或工程結算單）。</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③</w:t>
      </w:r>
      <w:r>
        <w:rPr>
          <w:rFonts w:hint="eastAsia" w:ascii="仿宋_GB2312" w:hAnsi="仿宋" w:eastAsia="宋体" w:cs="仿宋"/>
          <w:sz w:val="32"/>
          <w:szCs w:val="32"/>
          <w:lang w:eastAsia="zh-CN"/>
        </w:rPr>
        <w:t>單筆金額</w:t>
      </w:r>
      <w:r>
        <w:rPr>
          <w:rFonts w:hint="eastAsia" w:ascii="仿宋_GB2312" w:hAnsi="仿宋" w:eastAsia="宋体" w:cs="仿宋"/>
          <w:sz w:val="32"/>
          <w:szCs w:val="32"/>
        </w:rPr>
        <w:t>40萬元人民幣（不含）以上時，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①對外承包工程支出，應提供包含承包方式、工程規模、工程進度和完工期限，以及工程款項的劃撥和使用情況等關鍵要素的情況說明或相關證明材料。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②對外勞務承包支出，應提供注明身份證件號碼的勞務人員名單表。</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（1）境內機構因境外承包工程在我國境內採購的物資出口，應按照貨物貿易相關規定辦理。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銀行可開展對外承包工程類優質企業跨境人民幣結算業務便利化試點，在“展業三原則”基礎上，為對外承包工程類優質企業的服務貿易提供更加便利化的跨境人民幣金融服務。境內銀行開展試點業務，應通過省級跨境人民幣業務自律機制明確對外承包工程類優質企業的認定標準並制定具體實施方案。</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6.風險提示</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分析承包工程各類情況，包括但不限於發包方、總包方和分包方之間的權責劃分、資金走向、所選結算幣種，對交易背景的真實性和關聯交易的合理性加強盡職審查並審慎辦理。</w:t>
      </w:r>
    </w:p>
    <w:p>
      <w:pPr>
        <w:pStyle w:val="4"/>
        <w:adjustRightInd w:val="0"/>
        <w:snapToGrid w:val="0"/>
        <w:spacing w:before="0" w:after="0" w:line="560" w:lineRule="exact"/>
        <w:ind w:firstLine="643" w:firstLineChars="200"/>
        <w:rPr>
          <w:rFonts w:ascii="仿宋_GB2312" w:hAnsi="黑体" w:eastAsia="仿宋_GB2312" w:cs="仿宋"/>
        </w:rPr>
      </w:pPr>
      <w:bookmarkStart w:id="37" w:name="_Toc65325579"/>
      <w:bookmarkStart w:id="38" w:name="_Toc506194404"/>
      <w:r>
        <w:rPr>
          <w:rFonts w:hint="eastAsia" w:ascii="仿宋_GB2312" w:hAnsi="黑体" w:eastAsia="宋体" w:cs="仿宋"/>
        </w:rPr>
        <w:t>（三）對外承包工程簽訂合同之前服務貿易項下前期費用對外支付資金匯出</w:t>
      </w:r>
      <w:bookmarkEnd w:id="37"/>
      <w:bookmarkEnd w:id="38"/>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對外承包工程前期費用是指境內主體對外承包工程活動前期發生的諮詢費、勘察調查費、編制費、資料費、翻譯費等。</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（2）《中國人民銀行關於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eastAsia="zh-CN"/>
        </w:rPr>
        <w:t>（</w:t>
      </w: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〔201</w:t>
      </w:r>
      <w:r>
        <w:rPr>
          <w:rFonts w:ascii="仿宋_GB2312" w:hAnsi="仿宋" w:eastAsia="宋体"/>
          <w:sz w:val="32"/>
          <w:szCs w:val="32"/>
        </w:rPr>
        <w:t>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4</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〔201</w:t>
      </w:r>
      <w:r>
        <w:rPr>
          <w:rFonts w:ascii="仿宋_GB2312" w:hAnsi="仿宋" w:eastAsia="宋体"/>
          <w:sz w:val="32"/>
          <w:szCs w:val="32"/>
        </w:rPr>
        <w:t>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w:t>
      </w:r>
      <w:r>
        <w:rPr>
          <w:rFonts w:hint="eastAsia" w:ascii="仿宋_GB2312" w:hAnsi="仿宋" w:eastAsia="宋体"/>
          <w:sz w:val="32"/>
          <w:szCs w:val="32"/>
          <w:lang w:val="en-US" w:eastAsia="zh-CN"/>
        </w:rPr>
        <w:t>6</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業務經營範圍符合國家有關規定，客戶從事對外承包工程具備相應的業務資格或資質，基礎交易符合業務經營範圍。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w:t>
      </w:r>
      <w:r>
        <w:rPr>
          <w:rFonts w:hint="eastAsia" w:ascii="仿宋_GB2312" w:hAnsi="仿宋" w:eastAsia="宋体" w:cs="仿宋"/>
          <w:sz w:val="32"/>
          <w:szCs w:val="32"/>
          <w:lang w:eastAsia="zh-CN"/>
        </w:rPr>
        <w:t>，</w:t>
      </w:r>
      <w:r>
        <w:rPr>
          <w:rFonts w:hint="eastAsia" w:ascii="仿宋_GB2312" w:hAnsi="仿宋" w:eastAsia="宋体" w:cs="仿宋"/>
          <w:sz w:val="32"/>
          <w:szCs w:val="32"/>
        </w:rPr>
        <w:t>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②申請書（包括但不限於前期費用預算情況、使用時間、境外收款人與境內機構之間的關係等）。</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③</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對於可信客戶中的優質企業，銀行也可在“展業三原則”基礎上實施簡化流程，憑上述第①項為其直接辦理跨境結算。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①與工程專案有關的相關證明材料。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②後續資金使用用途的證明材料。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（1）注意區分容易混淆的業務及前期費用申請的合理性。</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（2）未使用完的人民幣資金，境內機構應及時調回境內。銀行應按服務貿易項下退款資金匯入審核標準辦理。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（3）向RCPMIS系統報送資訊時，應在交易附言欄目中標明“前期費用”字樣。</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4）銀行可開展對外承包工程類優質企業跨境人民幣結算業務便利化試點，在“展業三原則”基礎上，支持對外承包工程類優質企業為確保專案實施而需支付款項的匯出。境內銀行開展試點業務，應通過省級跨境人民幣業務自律機制明確優質企業的認定標準並制定具體實施方案。</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6.風險提示</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分析承包工程各類情況，包括但不限於發包方、總包方和分包方之間的權責劃分、資金走向，對交易背景的真實性和關聯交易的合理性加強盡職審查並審慎辦理。</w:t>
      </w:r>
    </w:p>
    <w:p>
      <w:pPr>
        <w:pStyle w:val="4"/>
        <w:adjustRightInd w:val="0"/>
        <w:snapToGrid w:val="0"/>
        <w:spacing w:before="0" w:after="0" w:line="560" w:lineRule="exact"/>
        <w:ind w:firstLine="643" w:firstLineChars="200"/>
        <w:rPr>
          <w:rFonts w:ascii="仿宋_GB2312" w:hAnsi="黑体" w:eastAsia="仿宋_GB2312" w:cs="仿宋"/>
          <w:bCs w:val="0"/>
        </w:rPr>
      </w:pPr>
      <w:bookmarkStart w:id="39" w:name="_Toc506194405"/>
      <w:bookmarkStart w:id="40" w:name="_Toc65325580"/>
      <w:r>
        <w:rPr>
          <w:rFonts w:hint="eastAsia" w:ascii="仿宋_GB2312" w:hAnsi="黑体" w:eastAsia="宋体" w:cs="仿宋"/>
          <w:bCs w:val="0"/>
        </w:rPr>
        <w:t>（四）技術進口項下資金匯出</w:t>
      </w:r>
      <w:bookmarkEnd w:id="39"/>
      <w:bookmarkEnd w:id="40"/>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技術進口是指從境外向境內，通過貿易、投資或者經濟技術合作的方式轉移技術的行為。包括專利權轉讓、專利申請權轉讓、專利實施許可、技術秘密轉讓、技術服務和其他方式的技術轉移。</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（2）《中國人民銀行關於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eastAsia="zh-CN"/>
        </w:rPr>
        <w:t>（</w:t>
      </w: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4</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w:t>
      </w:r>
      <w:r>
        <w:rPr>
          <w:rFonts w:hint="eastAsia" w:ascii="仿宋_GB2312" w:hAnsi="仿宋" w:eastAsia="宋体"/>
          <w:sz w:val="32"/>
          <w:szCs w:val="32"/>
          <w:lang w:val="en-US" w:eastAsia="zh-CN"/>
        </w:rPr>
        <w:t>6</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w:t>
      </w:r>
      <w:r>
        <w:rPr>
          <w:rFonts w:hint="eastAsia" w:ascii="仿宋_GB2312" w:hAnsi="仿宋" w:eastAsia="宋体" w:cs="仿宋"/>
          <w:sz w:val="32"/>
          <w:szCs w:val="32"/>
          <w:lang w:eastAsia="zh-CN"/>
        </w:rPr>
        <w:t>，</w:t>
      </w:r>
      <w:r>
        <w:rPr>
          <w:rFonts w:hint="eastAsia" w:ascii="仿宋_GB2312" w:hAnsi="仿宋" w:eastAsia="宋体" w:cs="仿宋"/>
          <w:sz w:val="32"/>
          <w:szCs w:val="32"/>
        </w:rPr>
        <w:t>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②合同（協議）或發票（付款通知）。</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③限制類技術進出口：商務部門頒發的《技術進出口許可證》。</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_GB2312" w:eastAsia="宋体" w:cs="仿宋_GB2312"/>
          <w:sz w:val="32"/>
          <w:szCs w:val="32"/>
        </w:rPr>
        <w:t>④</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①商務部門頒發的《技術進出口許可證》和其他技術進口的真實性證明材料。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②若支付為技術轉讓使用費，按照銷售提成的，提供專項審計報告或包含相關銷售額的年度審計報告。</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登錄國家商務部網站（www.mofcom.gov.cn）於首頁公開目錄中查詢技術進出口業務是否屬於“禁止進口限制進口技術目錄”。</w:t>
      </w:r>
    </w:p>
    <w:p>
      <w:pPr>
        <w:pStyle w:val="4"/>
        <w:adjustRightInd w:val="0"/>
        <w:snapToGrid w:val="0"/>
        <w:spacing w:before="0" w:after="0" w:line="560" w:lineRule="exact"/>
        <w:ind w:firstLine="643" w:firstLineChars="200"/>
        <w:rPr>
          <w:rFonts w:ascii="仿宋_GB2312" w:hAnsi="黑体" w:eastAsia="仿宋_GB2312" w:cs="仿宋"/>
          <w:bCs w:val="0"/>
        </w:rPr>
      </w:pPr>
      <w:bookmarkStart w:id="41" w:name="_Toc506194406"/>
      <w:bookmarkStart w:id="42" w:name="_Toc65325581"/>
      <w:r>
        <w:rPr>
          <w:rFonts w:hint="eastAsia" w:ascii="仿宋_GB2312" w:hAnsi="黑体" w:eastAsia="宋体" w:cs="仿宋"/>
          <w:bCs w:val="0"/>
        </w:rPr>
        <w:t>（五）代表處（辦事處）辦公經費項下資金匯出</w:t>
      </w:r>
      <w:bookmarkEnd w:id="41"/>
      <w:bookmarkEnd w:id="42"/>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辦事處、代表處等辦公經費指辦事處、代表處在開設時的啟動資金和運營經費。</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r>
        <w:rPr>
          <w:rFonts w:hint="eastAsia" w:eastAsia="宋体"/>
        </w:rPr>
        <w:t xml:space="preserve"> </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（2）《中國人民銀行關於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eastAsia="zh-CN"/>
        </w:rPr>
        <w:t>（</w:t>
      </w: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4</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w:t>
      </w:r>
      <w:r>
        <w:rPr>
          <w:rFonts w:hint="eastAsia" w:ascii="仿宋_GB2312" w:hAnsi="仿宋" w:eastAsia="宋体"/>
          <w:sz w:val="32"/>
          <w:szCs w:val="32"/>
          <w:lang w:val="en-US" w:eastAsia="zh-CN"/>
        </w:rPr>
        <w:t>6</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國家相關主管部門批准同意設立，業務經營範圍符合國家有關規定，具備相應的業務資格或資質，基礎交易符合業務經營範圍。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（1）跨境人民幣結算付款說明</w:t>
      </w:r>
      <w:r>
        <w:rPr>
          <w:rFonts w:hint="eastAsia" w:ascii="仿宋_GB2312" w:hAnsi="仿宋" w:eastAsia="宋体" w:cs="仿宋"/>
          <w:sz w:val="32"/>
          <w:szCs w:val="32"/>
          <w:lang w:eastAsia="zh-CN"/>
        </w:rPr>
        <w:t>，</w:t>
      </w:r>
      <w:r>
        <w:rPr>
          <w:rFonts w:hint="eastAsia" w:ascii="仿宋_GB2312" w:hAnsi="仿宋" w:eastAsia="宋体" w:cs="仿宋"/>
          <w:sz w:val="32"/>
          <w:szCs w:val="32"/>
        </w:rPr>
        <w:t>可使用辦事處、代表處提交的紙質形式或電子形式的收付款指令代替，辦事處、代表處提交的收付款指令應滿足國際收支申報和跨境人民幣業務資訊報送要求。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（2）經費預算表等。</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（3）</w:t>
      </w:r>
      <w:r>
        <w:rPr>
          <w:rFonts w:hint="eastAsia" w:ascii="仿宋_GB2312" w:hAnsi="仿宋" w:eastAsia="宋体" w:cs="仿宋"/>
          <w:sz w:val="32"/>
          <w:szCs w:val="32"/>
          <w:lang w:eastAsia="zh-CN"/>
        </w:rPr>
        <w:t>單筆金額</w:t>
      </w:r>
      <w:r>
        <w:rPr>
          <w:rFonts w:hint="eastAsia" w:ascii="仿宋_GB2312" w:hAnsi="仿宋" w:eastAsia="宋体" w:cs="仿宋"/>
          <w:sz w:val="32"/>
          <w:szCs w:val="32"/>
        </w:rPr>
        <w:t>40萬元人民幣（不含）以上時，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辦事處、代表處等辦公經費收支業務辦理前，需確定是國家相關主管部門批准同意設立的機構。辦公經費僅限經常專案支出，不應用於購買房產、買車等固定資產投資。</w:t>
      </w:r>
    </w:p>
    <w:p>
      <w:pPr>
        <w:pStyle w:val="4"/>
        <w:adjustRightInd w:val="0"/>
        <w:snapToGrid w:val="0"/>
        <w:spacing w:before="0" w:after="0" w:line="560" w:lineRule="exact"/>
        <w:ind w:firstLine="643" w:firstLineChars="200"/>
        <w:rPr>
          <w:rFonts w:ascii="仿宋_GB2312" w:hAnsi="黑体" w:eastAsia="仿宋_GB2312" w:cs="仿宋"/>
          <w:bCs w:val="0"/>
        </w:rPr>
      </w:pPr>
      <w:bookmarkStart w:id="43" w:name="_Toc506194407"/>
      <w:bookmarkStart w:id="44" w:name="_Toc65325582"/>
      <w:r>
        <w:rPr>
          <w:rFonts w:hint="eastAsia" w:ascii="仿宋_GB2312" w:hAnsi="黑体" w:eastAsia="宋体" w:cs="仿宋"/>
          <w:bCs w:val="0"/>
        </w:rPr>
        <w:t>（六）國際賠償款項下資金匯出</w:t>
      </w:r>
      <w:bookmarkEnd w:id="43"/>
      <w:bookmarkEnd w:id="44"/>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國際賠償（即與保險無關的賠償）款項下資金匯出，指不是通過保險公司投保賠付而支付的賠償款項的匯出業務。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（2）《中國人民銀行關於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eastAsia="zh-CN"/>
        </w:rPr>
        <w:t>（</w:t>
      </w: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4</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w:t>
      </w:r>
      <w:r>
        <w:rPr>
          <w:rFonts w:hint="eastAsia" w:ascii="仿宋_GB2312" w:hAnsi="仿宋" w:eastAsia="宋体"/>
          <w:sz w:val="32"/>
          <w:szCs w:val="32"/>
          <w:lang w:val="en-US" w:eastAsia="zh-CN"/>
        </w:rPr>
        <w:t>6</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w:t>
      </w:r>
      <w:r>
        <w:rPr>
          <w:rFonts w:hint="eastAsia" w:ascii="仿宋_GB2312" w:hAnsi="仿宋" w:eastAsia="宋体" w:cs="仿宋"/>
          <w:sz w:val="32"/>
          <w:szCs w:val="32"/>
          <w:lang w:eastAsia="zh-CN"/>
        </w:rPr>
        <w:t>，</w:t>
      </w:r>
      <w:r>
        <w:rPr>
          <w:rFonts w:hint="eastAsia" w:ascii="仿宋_GB2312" w:hAnsi="仿宋" w:eastAsia="宋体" w:cs="仿宋"/>
          <w:sz w:val="32"/>
          <w:szCs w:val="32"/>
        </w:rPr>
        <w:t>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②原始交易合同和賠償協議（賠償條款）。</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③</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①整個賠償過程的相關說明或證明材料。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如有法院判決書或仲裁機構出具的仲裁書或有權調解機構出具的調解書，可審核後直接辦理；如無法院判決書或仲裁機構出具的仲裁書或有權調解機構出具的調解書，應要求客戶提供第三方出具的相關證明材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（1）應加強對基礎交易單據的審核，認真審核各項單據所記載內容的一致性，除對合同等單據表面真實性的審核外，還可通過其他管道核查基礎交易背景真實性。如第三方對貨物品質問題的鑒定證明材料。</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（2）賠償金額占原始交易金額的比例應在合理區間內。</w:t>
      </w:r>
    </w:p>
    <w:p>
      <w:pPr>
        <w:pStyle w:val="4"/>
        <w:adjustRightInd w:val="0"/>
        <w:snapToGrid w:val="0"/>
        <w:spacing w:before="0" w:after="0" w:line="560" w:lineRule="exact"/>
        <w:ind w:firstLine="643" w:firstLineChars="200"/>
        <w:rPr>
          <w:rFonts w:ascii="仿宋_GB2312" w:hAnsi="黑体" w:eastAsia="仿宋_GB2312" w:cs="仿宋"/>
          <w:bCs w:val="0"/>
        </w:rPr>
      </w:pPr>
      <w:bookmarkStart w:id="45" w:name="_Toc506194408"/>
      <w:bookmarkStart w:id="46" w:name="_Toc65325583"/>
      <w:r>
        <w:rPr>
          <w:rFonts w:hint="eastAsia" w:ascii="仿宋_GB2312" w:hAnsi="黑体" w:eastAsia="宋体" w:cs="仿宋"/>
          <w:bCs w:val="0"/>
        </w:rPr>
        <w:t>（七）具有關聯關係的境內外機構代墊或分攤的服務貿易費用項下資金匯出</w:t>
      </w:r>
      <w:bookmarkEnd w:id="45"/>
      <w:bookmarkEnd w:id="46"/>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指居民與非居民基於原始交易，委託境內外關聯公司墊付或分攤服務貿易費用而產生的資金匯出。</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（2）《中國人民銀行關於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eastAsia="zh-CN"/>
        </w:rPr>
        <w:t>（</w:t>
      </w: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4</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 w:hAnsi="仿宋" w:eastAsia="仿宋"/>
          <w:sz w:val="30"/>
          <w:szCs w:val="30"/>
        </w:rPr>
      </w:pPr>
      <w:r>
        <w:rPr>
          <w:rFonts w:hint="eastAsia" w:ascii="仿宋_GB2312" w:hAnsi="仿宋" w:eastAsia="宋体"/>
          <w:sz w:val="32"/>
          <w:szCs w:val="32"/>
        </w:rPr>
        <w:t>（</w:t>
      </w:r>
      <w:r>
        <w:rPr>
          <w:rFonts w:hint="eastAsia" w:ascii="仿宋_GB2312" w:hAnsi="仿宋" w:eastAsia="宋体"/>
          <w:sz w:val="32"/>
          <w:szCs w:val="32"/>
          <w:lang w:val="en-US" w:eastAsia="zh-CN"/>
        </w:rPr>
        <w:t>6</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w:t>
      </w:r>
      <w:r>
        <w:rPr>
          <w:rFonts w:hint="eastAsia" w:ascii="仿宋_GB2312" w:hAnsi="仿宋" w:eastAsia="宋体" w:cs="仿宋"/>
          <w:sz w:val="32"/>
          <w:szCs w:val="32"/>
          <w:lang w:eastAsia="zh-CN"/>
        </w:rPr>
        <w:t>，</w:t>
      </w:r>
      <w:r>
        <w:rPr>
          <w:rFonts w:hint="eastAsia" w:ascii="仿宋_GB2312" w:hAnsi="仿宋" w:eastAsia="宋体" w:cs="仿宋"/>
          <w:sz w:val="32"/>
          <w:szCs w:val="32"/>
        </w:rPr>
        <w:t>可使用企業提交的紙質形式或電子形式的收付款指令代替，企業提交的收付款指令應滿足國際收支申報和跨境人民幣業務資訊報送要求；</w:t>
      </w:r>
    </w:p>
    <w:p>
      <w:pPr>
        <w:adjustRightInd w:val="0"/>
        <w:snapToGrid w:val="0"/>
        <w:spacing w:line="560" w:lineRule="exact"/>
        <w:ind w:left="600"/>
        <w:rPr>
          <w:rFonts w:ascii="仿宋_GB2312" w:hAnsi="仿宋" w:eastAsia="仿宋_GB2312" w:cs="仿宋"/>
          <w:sz w:val="32"/>
          <w:szCs w:val="32"/>
        </w:rPr>
      </w:pPr>
      <w:r>
        <w:rPr>
          <w:rFonts w:hint="eastAsia" w:ascii="仿宋_GB2312" w:hAnsi="仿宋" w:eastAsia="宋体" w:cs="仿宋"/>
          <w:sz w:val="32"/>
          <w:szCs w:val="32"/>
        </w:rPr>
        <w:t>②原始交易合同；</w:t>
      </w:r>
    </w:p>
    <w:p>
      <w:pPr>
        <w:adjustRightInd w:val="0"/>
        <w:snapToGrid w:val="0"/>
        <w:spacing w:line="560" w:lineRule="exact"/>
        <w:ind w:left="600"/>
        <w:rPr>
          <w:rFonts w:hint="eastAsia" w:ascii="仿宋_GB2312" w:hAnsi="仿宋" w:eastAsia="仿宋_GB2312" w:cs="仿宋"/>
          <w:sz w:val="32"/>
          <w:szCs w:val="32"/>
          <w:lang w:eastAsia="zh-CN"/>
        </w:rPr>
      </w:pPr>
      <w:r>
        <w:rPr>
          <w:rFonts w:hint="eastAsia" w:ascii="仿宋_GB2312" w:hAnsi="仿宋" w:eastAsia="宋体" w:cs="仿宋"/>
          <w:sz w:val="32"/>
          <w:szCs w:val="32"/>
        </w:rPr>
        <w:t>③代墊或分攤合同（協議或說明）或發票（支付通知）</w:t>
      </w:r>
      <w:r>
        <w:rPr>
          <w:rFonts w:hint="eastAsia" w:ascii="仿宋_GB2312" w:hAnsi="仿宋" w:eastAsia="宋体" w:cs="仿宋"/>
          <w:sz w:val="32"/>
          <w:szCs w:val="32"/>
          <w:lang w:eastAsia="zh-CN"/>
        </w:rPr>
        <w:t>；</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_GB2312" w:eastAsia="宋体" w:cs="仿宋_GB2312"/>
          <w:sz w:val="32"/>
          <w:szCs w:val="32"/>
        </w:rPr>
        <w:t>④</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left="0" w:firstLine="640" w:firstLineChars="200"/>
        <w:rPr>
          <w:rFonts w:ascii="仿宋_GB2312" w:hAnsi="仿宋" w:eastAsia="仿宋_GB2312" w:cs="仿宋"/>
          <w:sz w:val="32"/>
          <w:szCs w:val="32"/>
        </w:rPr>
      </w:pPr>
      <w:r>
        <w:rPr>
          <w:rFonts w:hint="eastAsia" w:ascii="仿宋_GB2312" w:hAnsi="仿宋"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（2）關注客戶，應按照以下更高標準增加提供相關證明材料：分攤費用各方關係證明</w:t>
      </w:r>
      <w:r>
        <w:rPr>
          <w:rFonts w:hint="eastAsia" w:ascii="仿宋_GB2312" w:hAnsi="仿宋" w:eastAsia="宋体" w:cs="仿宋"/>
          <w:sz w:val="32"/>
          <w:szCs w:val="32"/>
          <w:lang w:eastAsia="zh-CN"/>
        </w:rPr>
        <w:t>。</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（1）審核原始交易合同、代墊或分攤合同（協議或說明）、發票（支付通知）的相關性、合理性、一致性。</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（2）代墊或分攤費用限於具有關聯關係的境內外機構之間。</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（3）代墊或分攤期限原則上不得超過12個月。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（4）向RCPMIS系統報送資訊時，應在交易附言欄目中標明“代墊”、“分攤”字樣。</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（5）專案、工程、成套設備等的交付期限長，相關代墊或分攤期限原則上不得超過36個月。</w:t>
      </w:r>
    </w:p>
    <w:p>
      <w:pPr>
        <w:pStyle w:val="4"/>
        <w:adjustRightInd w:val="0"/>
        <w:snapToGrid w:val="0"/>
        <w:spacing w:before="0" w:after="0" w:line="560" w:lineRule="exact"/>
        <w:ind w:firstLine="643" w:firstLineChars="200"/>
        <w:rPr>
          <w:rFonts w:ascii="仿宋_GB2312" w:hAnsi="黑体" w:eastAsia="仿宋_GB2312" w:cs="仿宋"/>
          <w:bCs w:val="0"/>
        </w:rPr>
      </w:pPr>
      <w:bookmarkStart w:id="47" w:name="_Toc506194409"/>
      <w:bookmarkStart w:id="48" w:name="_Toc65325584"/>
      <w:r>
        <w:rPr>
          <w:rFonts w:hint="eastAsia" w:ascii="仿宋_GB2312" w:hAnsi="黑体" w:eastAsia="宋体" w:cs="仿宋"/>
          <w:bCs w:val="0"/>
        </w:rPr>
        <w:t>（八）服務貿易項下退款資金匯出</w:t>
      </w:r>
      <w:bookmarkEnd w:id="47"/>
      <w:bookmarkEnd w:id="48"/>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服務貿易項下退款是指有實際的國際交易發生並且付款人已經付款，但由於不符合合同約定項導致交易被撤銷時發生的退款；或指無實際的國際交易背景，由於付款人的錯誤而發生的款項錯匯。</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（4）《</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業務經營範圍符合國家有關規定，具備相應的業務資格或資質，基礎交易符合業務經營範圍。原匯入資金交易真實。</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②客戶退款申請及退款原因相關說明或證明材料等。</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（2）對關注客戶，應增加提供原</w:t>
      </w:r>
      <w:r>
        <w:rPr>
          <w:rFonts w:hint="eastAsia" w:ascii="仿宋_GB2312" w:hAnsi="仿宋" w:eastAsia="宋体" w:cs="仿宋"/>
          <w:sz w:val="32"/>
          <w:szCs w:val="32"/>
          <w:lang w:eastAsia="zh-CN"/>
        </w:rPr>
        <w:t>匯入</w:t>
      </w:r>
      <w:r>
        <w:rPr>
          <w:rFonts w:hint="eastAsia" w:ascii="仿宋_GB2312" w:hAnsi="仿宋" w:eastAsia="宋体" w:cs="仿宋"/>
          <w:sz w:val="32"/>
          <w:szCs w:val="32"/>
        </w:rPr>
        <w:t>資金交易性質規定的交易單證。</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（1）服務貿易項下退款，應按照原匯入資金交易性質審查並留存規定的交易單證和整個退款過程的相關說明或證明材料。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（2）退款金額不得超過原匯入金額，且原路退回。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（3）退款幣種原則上應與原收款幣種一致。</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（4）向RCPMIS系統報送資訊時，應在交易附言欄目中標明“退款</w:t>
      </w:r>
      <w:r>
        <w:rPr>
          <w:rFonts w:hint="eastAsia" w:ascii="仿宋_GB2312" w:hAnsi="仿宋" w:eastAsia="宋体" w:cs="仿宋"/>
          <w:sz w:val="32"/>
          <w:szCs w:val="32"/>
          <w:lang w:eastAsia="zh-CN"/>
        </w:rPr>
        <w:t>，</w:t>
      </w:r>
      <w:r>
        <w:rPr>
          <w:rFonts w:hint="eastAsia" w:ascii="仿宋_GB2312" w:hAnsi="仿宋" w:eastAsia="宋体" w:cs="仿宋"/>
          <w:sz w:val="32"/>
          <w:szCs w:val="32"/>
        </w:rPr>
        <w:t>原匯入/匯出申報編號”字樣。</w:t>
      </w:r>
    </w:p>
    <w:p>
      <w:pPr>
        <w:pStyle w:val="4"/>
        <w:adjustRightInd w:val="0"/>
        <w:snapToGrid w:val="0"/>
        <w:spacing w:before="0" w:after="0" w:line="560" w:lineRule="exact"/>
        <w:ind w:firstLine="643" w:firstLineChars="200"/>
        <w:rPr>
          <w:rFonts w:ascii="仿宋_GB2312" w:hAnsi="黑体" w:eastAsia="仿宋_GB2312" w:cs="仿宋"/>
          <w:bCs w:val="0"/>
        </w:rPr>
      </w:pPr>
      <w:bookmarkStart w:id="49" w:name="_Toc65325585"/>
      <w:bookmarkStart w:id="50" w:name="_Toc506194410"/>
      <w:r>
        <w:rPr>
          <w:rFonts w:hint="eastAsia" w:ascii="仿宋_GB2312" w:hAnsi="黑体" w:eastAsia="宋体" w:cs="仿宋"/>
          <w:bCs w:val="0"/>
        </w:rPr>
        <w:t>（九）其他服務貿易項下資金匯出</w:t>
      </w:r>
      <w:bookmarkEnd w:id="49"/>
      <w:bookmarkEnd w:id="50"/>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其他服務貿易項下資金匯出指上述未提及的其他服務貿易項下資金匯出業務。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（2）《中國人民銀行關於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eastAsia="zh-CN"/>
        </w:rPr>
        <w:t>（</w:t>
      </w: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4</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w:t>
      </w:r>
      <w:r>
        <w:rPr>
          <w:rFonts w:hint="eastAsia" w:ascii="仿宋_GB2312" w:hAnsi="仿宋" w:eastAsia="宋体"/>
          <w:sz w:val="32"/>
          <w:szCs w:val="32"/>
          <w:lang w:val="en-US" w:eastAsia="zh-CN"/>
        </w:rPr>
        <w:t>6</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②合同（協議）或發票（支付通知）或相關其他交易單證。</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③</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在上述材料無法充分證明關注客戶的交易真實性時，應按照更高標準增加提供其他相關交易單證或證明材料。</w:t>
      </w:r>
    </w:p>
    <w:p>
      <w:pPr>
        <w:pStyle w:val="3"/>
        <w:adjustRightInd w:val="0"/>
        <w:snapToGrid w:val="0"/>
        <w:spacing w:before="0" w:after="0" w:line="560" w:lineRule="exact"/>
        <w:ind w:firstLine="640" w:firstLineChars="200"/>
        <w:rPr>
          <w:rFonts w:ascii="黑体" w:hAnsi="黑体" w:cs="仿宋"/>
          <w:b w:val="0"/>
        </w:rPr>
      </w:pPr>
      <w:bookmarkStart w:id="51" w:name="_Toc65325586"/>
      <w:bookmarkStart w:id="52" w:name="_Toc506194411"/>
      <w:r>
        <w:rPr>
          <w:rFonts w:hint="eastAsia" w:ascii="黑体" w:hAnsi="黑体" w:eastAsia="宋体" w:cs="仿宋"/>
          <w:b w:val="0"/>
        </w:rPr>
        <w:t>三、外商直接投資收益匯出</w:t>
      </w:r>
      <w:bookmarkEnd w:id="51"/>
      <w:bookmarkEnd w:id="52"/>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外商直接投資收益匯出是指外商投資企業在境內直接投資獲得的利潤、股息和利息等收益的匯出業務。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（2）《外商直接投資人民幣結算業務管理辦法》（中國人民銀行公告</w:t>
      </w:r>
      <w:r>
        <w:rPr>
          <w:rFonts w:hint="eastAsia" w:ascii="仿宋_GB2312" w:hAnsi="仿宋" w:eastAsia="宋体"/>
          <w:sz w:val="32"/>
          <w:szCs w:val="32"/>
        </w:rPr>
        <w:t>〔</w:t>
      </w:r>
      <w:r>
        <w:rPr>
          <w:rFonts w:hint="eastAsia" w:ascii="仿宋_GB2312" w:hAnsi="仿宋" w:eastAsia="宋体" w:cs="仿宋"/>
          <w:sz w:val="32"/>
          <w:szCs w:val="32"/>
        </w:rPr>
        <w:t>2011</w:t>
      </w:r>
      <w:r>
        <w:rPr>
          <w:rFonts w:hint="eastAsia" w:ascii="仿宋_GB2312" w:hAnsi="仿宋" w:eastAsia="宋体"/>
          <w:sz w:val="32"/>
          <w:szCs w:val="32"/>
        </w:rPr>
        <w:t>〕</w:t>
      </w:r>
      <w:r>
        <w:rPr>
          <w:rFonts w:hint="eastAsia" w:ascii="仿宋_GB2312" w:hAnsi="仿宋" w:eastAsia="宋体" w:cs="仿宋"/>
          <w:sz w:val="32"/>
          <w:szCs w:val="32"/>
        </w:rPr>
        <w:t>第23號）；</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（3）《中國人民銀行關於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eastAsia="zh-CN"/>
        </w:rPr>
        <w:t>（</w:t>
      </w:r>
      <w:r>
        <w:rPr>
          <w:rFonts w:hint="eastAsia" w:ascii="仿宋_GB2312" w:hAnsi="仿宋" w:eastAsia="宋体" w:cs="仿宋"/>
          <w:sz w:val="32"/>
          <w:szCs w:val="32"/>
          <w:lang w:val="en-US" w:eastAsia="zh-CN"/>
        </w:rPr>
        <w:t>4）</w:t>
      </w:r>
      <w:r>
        <w:rPr>
          <w:rFonts w:hint="eastAsia" w:ascii="仿宋_GB2312" w:hAnsi="仿宋" w:eastAsia="宋体" w:cs="仿宋"/>
          <w:sz w:val="32"/>
          <w:szCs w:val="32"/>
        </w:rPr>
        <w:t>中國人民銀行公告</w:t>
      </w:r>
      <w:r>
        <w:rPr>
          <w:rFonts w:hint="eastAsia" w:ascii="仿宋_GB2312" w:hAnsi="仿宋" w:eastAsia="宋体"/>
          <w:sz w:val="32"/>
          <w:szCs w:val="32"/>
        </w:rPr>
        <w:t>〔</w:t>
      </w:r>
      <w:r>
        <w:rPr>
          <w:rFonts w:hint="eastAsia" w:ascii="仿宋_GB2312" w:hAnsi="仿宋" w:eastAsia="宋体" w:cs="仿宋"/>
          <w:sz w:val="32"/>
          <w:szCs w:val="32"/>
        </w:rPr>
        <w:t>201</w:t>
      </w:r>
      <w:r>
        <w:rPr>
          <w:rFonts w:ascii="仿宋_GB2312" w:hAnsi="仿宋" w:eastAsia="宋体" w:cs="仿宋"/>
          <w:sz w:val="32"/>
          <w:szCs w:val="32"/>
        </w:rPr>
        <w:t>5</w:t>
      </w:r>
      <w:r>
        <w:rPr>
          <w:rFonts w:hint="eastAsia" w:ascii="仿宋_GB2312" w:hAnsi="仿宋" w:eastAsia="宋体"/>
          <w:sz w:val="32"/>
          <w:szCs w:val="32"/>
        </w:rPr>
        <w:t>〕第</w:t>
      </w:r>
      <w:r>
        <w:rPr>
          <w:rFonts w:hint="eastAsia" w:ascii="仿宋_GB2312" w:hAnsi="仿宋" w:eastAsia="宋体" w:cs="仿宋"/>
          <w:sz w:val="32"/>
          <w:szCs w:val="32"/>
        </w:rPr>
        <w:t>1</w:t>
      </w:r>
      <w:r>
        <w:rPr>
          <w:rFonts w:ascii="仿宋_GB2312" w:hAnsi="仿宋" w:eastAsia="宋体" w:cs="仿宋"/>
          <w:sz w:val="32"/>
          <w:szCs w:val="32"/>
        </w:rPr>
        <w:t>2</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6</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7</w:t>
      </w:r>
      <w:r>
        <w:rPr>
          <w:rFonts w:hint="eastAsia"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w:t>
      </w:r>
      <w:r>
        <w:rPr>
          <w:rFonts w:hint="eastAsia" w:ascii="仿宋_GB2312" w:hAnsi="仿宋" w:eastAsia="宋体"/>
          <w:sz w:val="32"/>
          <w:szCs w:val="32"/>
          <w:lang w:val="en-US" w:eastAsia="zh-CN"/>
        </w:rPr>
        <w:t>8</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w:t>
      </w:r>
      <w:r>
        <w:rPr>
          <w:rFonts w:hint="eastAsia" w:ascii="仿宋_GB2312" w:hAnsi="仿宋" w:eastAsia="宋体" w:cs="仿宋"/>
          <w:sz w:val="32"/>
          <w:szCs w:val="32"/>
          <w:lang w:val="en-US" w:eastAsia="zh-CN"/>
        </w:rPr>
        <w:t>與本次利潤匯出相關的股東或董事會利潤分配決議（或合夥人利潤分配決議）</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③</w:t>
      </w:r>
      <w:r>
        <w:rPr>
          <w:rFonts w:hint="eastAsia" w:ascii="仿宋_GB2312" w:hAnsi="仿宋" w:eastAsia="宋体" w:cs="仿宋"/>
          <w:b w:val="0"/>
          <w:bCs w:val="0"/>
          <w:i w:val="0"/>
          <w:kern w:val="2"/>
          <w:sz w:val="32"/>
          <w:szCs w:val="32"/>
          <w:u w:val="none"/>
          <w:lang w:val="en-US" w:eastAsia="zh-CN" w:bidi="ar"/>
        </w:rPr>
        <w:t>會計師事務所出具的相關財務審計報告</w:t>
      </w:r>
      <w:r>
        <w:rPr>
          <w:rFonts w:hint="eastAsia" w:ascii="仿宋_GB2312" w:hAnsi="仿宋" w:eastAsia="宋体" w:cs="仿宋"/>
          <w:sz w:val="32"/>
          <w:szCs w:val="32"/>
        </w:rPr>
        <w:t>。</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④</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40萬元人民幣（不含）以上時，</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銀行為可信客戶辦理40萬元（含）以下利潤匯出業務時，可根據“展業三原則”決定是否審核除付款說明以外的單證。</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①利潤匯出。</w:t>
      </w:r>
      <w:r>
        <w:rPr>
          <w:rFonts w:hint="eastAsia" w:ascii="仿宋_GB2312" w:hAnsi="仿宋" w:eastAsia="宋体" w:cs="仿宋"/>
          <w:sz w:val="32"/>
          <w:szCs w:val="32"/>
          <w:lang w:eastAsia="zh-CN"/>
        </w:rPr>
        <w:t>銀行應</w:t>
      </w:r>
      <w:r>
        <w:rPr>
          <w:rFonts w:hint="eastAsia" w:ascii="仿宋_GB2312" w:hAnsi="仿宋" w:eastAsia="宋体" w:cs="仿宋"/>
          <w:sz w:val="32"/>
          <w:szCs w:val="32"/>
        </w:rPr>
        <w:t>登</w:t>
      </w:r>
      <w:r>
        <w:rPr>
          <w:rFonts w:hint="eastAsia" w:ascii="仿宋_GB2312" w:hAnsi="仿宋" w:eastAsia="宋体" w:cs="仿宋"/>
          <w:sz w:val="32"/>
          <w:szCs w:val="32"/>
          <w:lang w:eastAsia="zh-CN"/>
        </w:rPr>
        <w:t>錄</w:t>
      </w:r>
      <w:r>
        <w:rPr>
          <w:rFonts w:hint="eastAsia" w:ascii="仿宋_GB2312" w:hAnsi="仿宋" w:eastAsia="宋体" w:cs="仿宋"/>
          <w:sz w:val="32"/>
          <w:szCs w:val="32"/>
        </w:rPr>
        <w:t>資本專案資訊系統綜合查詢模組查詢其外方股東，與利潤匯出的實際境外收款人名稱、註冊地進行比對，核實與登記外方股東名稱是否一致；應對股東的出資比例與董事會決議進行比對，核實比例是否一致</w:t>
      </w:r>
      <w:r>
        <w:rPr>
          <w:rFonts w:hint="eastAsia" w:ascii="仿宋_GB2312" w:hAnsi="仿宋" w:eastAsia="宋体" w:cs="仿宋"/>
          <w:sz w:val="32"/>
          <w:szCs w:val="32"/>
          <w:lang w:eastAsia="zh-CN"/>
        </w:rPr>
        <w:t>（</w:t>
      </w:r>
      <w:r>
        <w:rPr>
          <w:rFonts w:hint="eastAsia" w:ascii="仿宋_GB2312" w:hAnsi="仿宋" w:eastAsia="宋体" w:cs="仿宋"/>
          <w:sz w:val="32"/>
          <w:szCs w:val="32"/>
          <w:highlight w:val="none"/>
          <w:lang w:eastAsia="zh-CN"/>
        </w:rPr>
        <w:t>如不一致，還需根據《公司法》規定進一步核實股東會決議、公司章程規定）</w:t>
      </w:r>
      <w:r>
        <w:rPr>
          <w:rFonts w:hint="eastAsia" w:ascii="仿宋_GB2312" w:hAnsi="仿宋" w:eastAsia="宋体" w:cs="仿宋"/>
          <w:sz w:val="32"/>
          <w:szCs w:val="32"/>
        </w:rPr>
        <w:t>；登</w:t>
      </w:r>
      <w:r>
        <w:rPr>
          <w:rFonts w:hint="eastAsia" w:ascii="仿宋_GB2312" w:hAnsi="仿宋" w:eastAsia="宋体" w:cs="仿宋"/>
          <w:sz w:val="32"/>
          <w:szCs w:val="32"/>
          <w:lang w:eastAsia="zh-CN"/>
        </w:rPr>
        <w:t>錄</w:t>
      </w:r>
      <w:r>
        <w:rPr>
          <w:rFonts w:hint="eastAsia" w:ascii="仿宋_GB2312" w:hAnsi="仿宋" w:eastAsia="宋体" w:cs="仿宋"/>
          <w:sz w:val="32"/>
          <w:szCs w:val="32"/>
        </w:rPr>
        <w:t>資本專案資訊系統存量資訊模組查詢外方股東享有的淨利潤、分配外方股東的利潤金額合計以及匯往外方股東的利潤金額合計等數據，判斷該筆支出是否正常。</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利息匯出。若為償還境外銀行或母公司貸款利息，企業原則上應提供其外債業務登記憑證，登錄資本專案資訊系統查詢外債控制資訊表，核對企業外債登記資訊，查詢該筆外債的真實性，並根據本金、利率情況計算應支付利息，判斷該筆支出是否正常。</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③其他能夠證明投資收益支出真實性的材料，包括但不限於企業經營範圍、業務規模和交易背景等。</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（1）境內機構利潤匯出前應先依法彌補以前年度虧損。</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（2）境內機構原則上不得將預分配的利潤提前匯出。</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（3）利潤匯出金額應</w:t>
      </w:r>
      <w:r>
        <w:rPr>
          <w:rFonts w:hint="eastAsia" w:ascii="仿宋_GB2312" w:hAnsi="仿宋" w:eastAsia="宋体" w:cs="仿宋"/>
          <w:sz w:val="32"/>
          <w:szCs w:val="32"/>
          <w:lang w:eastAsia="zh-CN"/>
        </w:rPr>
        <w:t>不超過股東或</w:t>
      </w:r>
      <w:r>
        <w:rPr>
          <w:rFonts w:hint="eastAsia" w:ascii="仿宋_GB2312" w:hAnsi="仿宋" w:eastAsia="宋体" w:cs="仿宋"/>
          <w:sz w:val="32"/>
          <w:szCs w:val="32"/>
        </w:rPr>
        <w:t>董事會</w:t>
      </w:r>
      <w:r>
        <w:rPr>
          <w:rFonts w:hint="eastAsia" w:ascii="仿宋_GB2312" w:hAnsi="仿宋" w:eastAsia="宋体" w:cs="仿宋"/>
          <w:sz w:val="32"/>
          <w:szCs w:val="32"/>
          <w:lang w:val="en-US" w:eastAsia="zh-CN"/>
        </w:rPr>
        <w:t>利潤分配決議（或合夥人利潤分配決議）</w:t>
      </w:r>
      <w:r>
        <w:rPr>
          <w:rFonts w:hint="eastAsia" w:ascii="仿宋_GB2312" w:hAnsi="仿宋" w:eastAsia="宋体" w:cs="仿宋"/>
          <w:sz w:val="32"/>
          <w:szCs w:val="32"/>
        </w:rPr>
        <w:t>以及</w:t>
      </w:r>
      <w:r>
        <w:rPr>
          <w:rFonts w:hint="eastAsia" w:ascii="仿宋_GB2312" w:hAnsi="仿宋" w:eastAsia="宋体" w:cs="仿宋"/>
          <w:sz w:val="32"/>
          <w:szCs w:val="32"/>
          <w:lang w:eastAsia="zh-CN"/>
        </w:rPr>
        <w:t>《服務貿易等專案對外支付稅務備案表》</w:t>
      </w:r>
      <w:r>
        <w:rPr>
          <w:rFonts w:hint="eastAsia" w:ascii="仿宋_GB2312" w:hAnsi="仿宋" w:eastAsia="宋体" w:cs="仿宋"/>
          <w:sz w:val="32"/>
          <w:szCs w:val="32"/>
        </w:rPr>
        <w:t>中的金額，企業本年度處置金額原則上不超過最近一期財務審計報告中屬於外方股東的“應付股利”與“未分配利潤”合計金額。</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4）審核企業是否履行《公司法》第167條關於提取法定公積金的相關規定，即“公司分配當年稅後利潤時，應當提取利潤的百分之十列入公司法定公積金。公司法定公積金累計額為公司註冊資本的百分之五十以上的，可以不再提取。股東會、股東大會或者董事會違反前款規定，在公司彌補虧損和提取法定公積金之前向股東分配利潤的，股東必須將違反規定分配的利潤退還公司。</w:t>
      </w:r>
    </w:p>
    <w:p>
      <w:pPr>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宋体" w:cs="仿宋"/>
          <w:sz w:val="32"/>
          <w:szCs w:val="32"/>
        </w:rPr>
        <w:t>（</w:t>
      </w:r>
      <w:r>
        <w:rPr>
          <w:rFonts w:hint="eastAsia" w:ascii="仿宋_GB2312" w:hAnsi="仿宋" w:eastAsia="宋体" w:cs="仿宋"/>
          <w:sz w:val="32"/>
          <w:szCs w:val="32"/>
          <w:lang w:val="en-US" w:eastAsia="zh-CN"/>
        </w:rPr>
        <w:t>5</w:t>
      </w:r>
      <w:r>
        <w:rPr>
          <w:rFonts w:hint="eastAsia" w:ascii="仿宋_GB2312" w:hAnsi="仿宋" w:eastAsia="宋体" w:cs="仿宋"/>
          <w:sz w:val="32"/>
          <w:szCs w:val="32"/>
        </w:rPr>
        <w:t>）</w:t>
      </w:r>
      <w:r>
        <w:rPr>
          <w:rFonts w:hint="eastAsia" w:ascii="仿宋_GB2312" w:hAnsi="仿宋" w:eastAsia="宋体" w:cs="宋体"/>
          <w:kern w:val="0"/>
          <w:sz w:val="32"/>
          <w:szCs w:val="32"/>
        </w:rPr>
        <w:t>對於境外投資者在境內依法取得的利潤、股息等投資收益，銀行按規定審核相關證明材料後辦理人民幣跨境結算，確保境外投資者利潤所得依法自由匯出。</w:t>
      </w:r>
    </w:p>
    <w:p>
      <w:pPr>
        <w:pStyle w:val="3"/>
        <w:adjustRightInd w:val="0"/>
        <w:snapToGrid w:val="0"/>
        <w:spacing w:before="0" w:after="0" w:line="560" w:lineRule="exact"/>
        <w:ind w:firstLine="640" w:firstLineChars="200"/>
        <w:rPr>
          <w:rFonts w:ascii="黑体" w:hAnsi="黑体" w:cs="仿宋"/>
          <w:b w:val="0"/>
        </w:rPr>
      </w:pPr>
      <w:bookmarkStart w:id="53" w:name="_Toc65325587"/>
      <w:r>
        <w:rPr>
          <w:rFonts w:hint="eastAsia" w:ascii="黑体" w:hAnsi="黑体" w:eastAsia="宋体" w:cs="仿宋"/>
          <w:b w:val="0"/>
        </w:rPr>
        <w:t>四、捐贈和無償援助匯出</w:t>
      </w:r>
      <w:bookmarkEnd w:id="53"/>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捐贈和無償援助匯出是指境內機構對境外機構或境外個人無償贈與資金以及無償援助資金的行為。</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（1）境內企業向境外非營利性機構捐贈: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①跨境人民幣結算付款說明，可使用企業提交的紙質形式或電子形式的收付款指令代替，企業提交的收付款指令應滿足國際收支申報和跨境人民幣業務資訊報送要求；申請書；</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②境內企業營業執照；</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③境外非營利性機構在境外依法登記成立的證明檔（附中文譯本）；</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④列明資金用途的捐贈協議；</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⑤</w:t>
      </w:r>
      <w:r>
        <w:rPr>
          <w:rFonts w:hint="eastAsia" w:ascii="仿宋_GB2312" w:hAnsi="仿宋" w:eastAsia="宋体" w:cs="仿宋"/>
          <w:sz w:val="32"/>
          <w:szCs w:val="32"/>
        </w:rPr>
        <w:t>按照國家相關規定如需辦理審批備案等手續的，需提供已辦妥上述手續的相關證明檔；</w:t>
      </w:r>
    </w:p>
    <w:p>
      <w:pPr>
        <w:adjustRightInd w:val="0"/>
        <w:snapToGrid w:val="0"/>
        <w:spacing w:line="560" w:lineRule="exact"/>
        <w:ind w:firstLine="640" w:firstLineChars="200"/>
        <w:rPr>
          <w:rFonts w:hint="default" w:ascii="仿宋" w:hAnsi="仿宋" w:eastAsia="仿宋" w:cs="仿宋"/>
          <w:sz w:val="30"/>
          <w:szCs w:val="30"/>
          <w:lang w:val="en-US"/>
        </w:rPr>
      </w:pPr>
      <w:r>
        <w:rPr>
          <w:rFonts w:hint="eastAsia" w:ascii="仿宋_GB2312" w:hAnsi="仿宋" w:eastAsia="宋体" w:cs="仿宋"/>
          <w:sz w:val="32"/>
          <w:szCs w:val="32"/>
        </w:rPr>
        <w:t>⑥單筆</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40萬元人民幣（不含）以上匯出提供相關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⑦</w:t>
      </w:r>
      <w:r>
        <w:rPr>
          <w:rFonts w:hint="eastAsia" w:ascii="仿宋_GB2312" w:hAnsi="仿宋" w:eastAsia="宋体" w:cs="仿宋"/>
          <w:sz w:val="32"/>
          <w:szCs w:val="32"/>
        </w:rPr>
        <w:t>在上述材料無法充分證明交易真實性時，要求提供的其他材料。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（2）境內企業向境外營利性機構或境外個人捐贈，按照跨境投資、對外債權債務有關規定辦理。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（3）縣級以上（含）國家機關或其他有權機關向境外捐贈：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①跨境人民幣結算付款說明、申請書；</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②單筆</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40萬元人民幣（不含）以上匯出提供相關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省級以上國家機關對外無償捐贈、援助資金無需提交。</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（4）其他境內機構向境外捐贈：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①跨境人民幣結算付款說明、申請書（境內機構在申請書中須如實承諾該捐贈行為不違反國家相關禁止性規定，並承擔由此產生的法律責任）；</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②有關管理部門頒發的境內機構合法登記成立的證明檔；</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③境外機構在境外依法登記成立的證明檔（附中文譯本）；</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④列明用途的捐贈協議；</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⑤</w:t>
      </w:r>
      <w:r>
        <w:rPr>
          <w:rFonts w:hint="eastAsia" w:ascii="仿宋_GB2312" w:hAnsi="仿宋" w:eastAsia="宋体" w:cs="仿宋"/>
          <w:sz w:val="32"/>
          <w:szCs w:val="32"/>
        </w:rPr>
        <w:t>按照國家相關規定如需辦理審批備案等手續的，需提供已辦妥上述手續的相關證明檔；</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⑥</w:t>
      </w:r>
      <w:r>
        <w:rPr>
          <w:rFonts w:hint="eastAsia" w:ascii="仿宋_GB2312" w:hAnsi="仿宋" w:eastAsia="宋体" w:cs="仿宋"/>
          <w:sz w:val="32"/>
          <w:szCs w:val="32"/>
        </w:rPr>
        <w:t>單筆</w:t>
      </w:r>
      <w:r>
        <w:rPr>
          <w:rFonts w:hint="eastAsia" w:ascii="仿宋_GB2312" w:hAnsi="仿宋" w:eastAsia="宋体" w:cs="仿宋"/>
          <w:sz w:val="32"/>
          <w:szCs w:val="32"/>
          <w:lang w:eastAsia="zh-CN"/>
        </w:rPr>
        <w:t>金額</w:t>
      </w:r>
      <w:r>
        <w:rPr>
          <w:rFonts w:hint="eastAsia" w:ascii="仿宋_GB2312" w:hAnsi="仿宋" w:eastAsia="宋体" w:cs="仿宋"/>
          <w:sz w:val="32"/>
          <w:szCs w:val="32"/>
        </w:rPr>
        <w:t>40萬元人民幣（不含）以上匯出提供相關</w:t>
      </w:r>
      <w:r>
        <w:rPr>
          <w:rFonts w:hint="eastAsia" w:ascii="仿宋_GB2312" w:hAnsi="仿宋" w:eastAsia="宋体" w:cs="仿宋"/>
          <w:sz w:val="32"/>
          <w:szCs w:val="32"/>
          <w:lang w:eastAsia="zh-CN"/>
        </w:rPr>
        <w:t>《備案表》編號和驗證碼</w:t>
      </w:r>
      <w:r>
        <w:rPr>
          <w:rFonts w:hint="eastAsia" w:ascii="仿宋_GB2312" w:hAnsi="仿宋" w:eastAsia="宋体" w:cs="仿宋"/>
          <w:sz w:val="32"/>
          <w:szCs w:val="32"/>
        </w:rPr>
        <w:t>（稅務部門規定無需辦理</w:t>
      </w:r>
      <w:r>
        <w:rPr>
          <w:rFonts w:hint="eastAsia" w:ascii="仿宋_GB2312" w:hAnsi="仿宋" w:eastAsia="宋体" w:cs="仿宋"/>
          <w:sz w:val="32"/>
          <w:szCs w:val="32"/>
          <w:lang w:eastAsia="zh-CN"/>
        </w:rPr>
        <w:t>《備案表》</w:t>
      </w:r>
      <w:r>
        <w:rPr>
          <w:rFonts w:hint="eastAsia" w:ascii="仿宋_GB2312" w:hAnsi="仿宋" w:eastAsia="宋体" w:cs="仿宋"/>
          <w:sz w:val="32"/>
          <w:szCs w:val="32"/>
        </w:rPr>
        <w:t>的除外）</w:t>
      </w:r>
      <w:r>
        <w:rPr>
          <w:rFonts w:hint="eastAsia" w:ascii="仿宋_GB2312" w:hAnsi="仿宋" w:eastAsia="宋体" w:cs="仿宋"/>
          <w:sz w:val="32"/>
          <w:szCs w:val="32"/>
          <w:lang w:eastAsia="zh-CN"/>
        </w:rPr>
        <w:t>，銀行核驗稅務備案資訊後為客戶辦理支付</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⑦</w:t>
      </w:r>
      <w:r>
        <w:rPr>
          <w:rFonts w:hint="eastAsia" w:ascii="仿宋_GB2312" w:hAnsi="仿宋" w:eastAsia="宋体" w:cs="仿宋"/>
          <w:sz w:val="32"/>
          <w:szCs w:val="32"/>
        </w:rPr>
        <w:t>在上述材料無法充分證明交易真實性時，要求提供的其他材料。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3.風險提示</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境內機構捐贈支出必須遵守我國法律法規及其他相關管理規定，不得違背社會公德，不得損害公共利益和其他公民的合法權益。</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4.審核及操作要點</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（1）境內機構</w:t>
      </w:r>
      <w:r>
        <w:rPr>
          <w:rFonts w:hint="eastAsia" w:ascii="仿宋_GB2312" w:hAnsi="仿宋" w:eastAsia="宋体" w:cs="仿宋"/>
          <w:sz w:val="32"/>
          <w:szCs w:val="32"/>
          <w:lang w:eastAsia="zh-CN"/>
        </w:rPr>
        <w:t>可</w:t>
      </w:r>
      <w:r>
        <w:rPr>
          <w:rFonts w:hint="eastAsia" w:ascii="仿宋_GB2312" w:hAnsi="仿宋" w:eastAsia="宋体" w:cs="仿宋"/>
          <w:sz w:val="32"/>
          <w:szCs w:val="32"/>
        </w:rPr>
        <w:t>開立人民幣專用存款帳戶，用於辦理捐贈項下人民幣跨境支出；（2）認真審核境內機構的對外捐贈行為及境外接收方是否符合我國法律法規和其他相關管理規定。</w:t>
      </w:r>
    </w:p>
    <w:p>
      <w:pPr>
        <w:adjustRightInd w:val="0"/>
        <w:snapToGrid w:val="0"/>
        <w:spacing w:line="560" w:lineRule="exact"/>
        <w:rPr>
          <w:rFonts w:ascii="仿宋" w:hAnsi="仿宋" w:eastAsia="仿宋" w:cs="仿宋"/>
          <w:sz w:val="30"/>
          <w:szCs w:val="30"/>
        </w:rPr>
      </w:pPr>
      <w:r>
        <w:rPr>
          <w:rFonts w:ascii="仿宋" w:hAnsi="仿宋" w:eastAsia="仿宋" w:cs="仿宋"/>
          <w:sz w:val="30"/>
          <w:szCs w:val="30"/>
        </w:rPr>
        <w:br w:type="page"/>
      </w:r>
    </w:p>
    <w:p>
      <w:pPr>
        <w:pStyle w:val="2"/>
        <w:spacing w:line="560" w:lineRule="exact"/>
        <w:ind w:firstLine="0" w:firstLineChars="0"/>
        <w:rPr>
          <w:sz w:val="44"/>
          <w:szCs w:val="44"/>
        </w:rPr>
      </w:pPr>
      <w:bookmarkStart w:id="54" w:name="_Toc506194412"/>
      <w:bookmarkStart w:id="55" w:name="_Toc38028367"/>
      <w:bookmarkStart w:id="56" w:name="_Toc65325588"/>
      <w:r>
        <w:rPr>
          <w:rFonts w:hint="eastAsia" w:eastAsia="宋体"/>
          <w:sz w:val="44"/>
          <w:szCs w:val="44"/>
        </w:rPr>
        <w:t>第三部分 服務貿易及其他經常匯入業務具體審核規範</w:t>
      </w:r>
      <w:bookmarkEnd w:id="54"/>
      <w:bookmarkEnd w:id="55"/>
      <w:bookmarkEnd w:id="56"/>
    </w:p>
    <w:p>
      <w:pPr>
        <w:adjustRightInd w:val="0"/>
        <w:snapToGrid w:val="0"/>
        <w:spacing w:line="560" w:lineRule="exact"/>
        <w:ind w:firstLine="602" w:firstLineChars="200"/>
        <w:rPr>
          <w:rFonts w:ascii="黑体" w:hAnsi="黑体" w:cs="仿宋"/>
          <w:b/>
          <w:bCs/>
          <w:sz w:val="30"/>
          <w:szCs w:val="30"/>
        </w:rPr>
      </w:pPr>
    </w:p>
    <w:p>
      <w:pPr>
        <w:pStyle w:val="3"/>
        <w:adjustRightInd w:val="0"/>
        <w:snapToGrid w:val="0"/>
        <w:spacing w:before="0" w:after="0" w:line="560" w:lineRule="exact"/>
        <w:ind w:firstLine="640" w:firstLineChars="200"/>
        <w:rPr>
          <w:rFonts w:ascii="黑体" w:hAnsi="黑体" w:cs="仿宋"/>
          <w:b w:val="0"/>
          <w:bCs w:val="0"/>
        </w:rPr>
      </w:pPr>
      <w:bookmarkStart w:id="57" w:name="_Toc65325589"/>
      <w:bookmarkStart w:id="58" w:name="_Toc506194413"/>
      <w:r>
        <w:rPr>
          <w:rFonts w:hint="eastAsia" w:ascii="黑体" w:hAnsi="黑体" w:eastAsia="宋体" w:cs="仿宋"/>
          <w:b w:val="0"/>
          <w:bCs w:val="0"/>
        </w:rPr>
        <w:t>一、單筆40萬元（含）以下的服務貿易跨境人民幣匯入</w:t>
      </w:r>
      <w:bookmarkEnd w:id="57"/>
      <w:bookmarkEnd w:id="58"/>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（一）業務定義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服務貿易是指跨境提供服務，主要包括商業性服務、通信服務、建築服務、銷售服務、教育服務、環境服務、金融服務、健康及社會服務、旅遊及相關服務、文娛及體育服務、交通運輸服務及其他服務。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（二）政策依據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ascii="仿宋_GB2312" w:hAnsi="仿宋" w:eastAsia="宋体" w:cs="仿宋"/>
          <w:sz w:val="32"/>
          <w:szCs w:val="32"/>
        </w:rPr>
        <w:t>.</w:t>
      </w:r>
      <w:r>
        <w:rPr>
          <w:rFonts w:hint="eastAsia" w:ascii="仿宋_GB2312" w:hAnsi="仿宋" w:eastAsia="宋体" w:cs="仿宋"/>
          <w:sz w:val="32"/>
          <w:szCs w:val="32"/>
        </w:rPr>
        <w:t>《</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宋体" w:cs="仿宋"/>
          <w:sz w:val="32"/>
          <w:szCs w:val="32"/>
        </w:rPr>
        <w:t>2</w:t>
      </w:r>
      <w:r>
        <w:rPr>
          <w:rFonts w:ascii="仿宋_GB2312" w:hAnsi="仿宋" w:eastAsia="宋体" w:cs="仿宋"/>
          <w:sz w:val="32"/>
          <w:szCs w:val="32"/>
        </w:rPr>
        <w:t>.</w:t>
      </w:r>
      <w:r>
        <w:rPr>
          <w:rFonts w:hint="eastAsia" w:ascii="仿宋_GB2312" w:hAnsi="仿宋" w:eastAsia="宋体" w:cs="仿宋"/>
          <w:sz w:val="32"/>
          <w:szCs w:val="32"/>
        </w:rPr>
        <w:t>《中國人民銀行關於</w:t>
      </w:r>
      <w:r>
        <w:rPr>
          <w:rFonts w:hint="eastAsia" w:ascii="仿宋_GB2312" w:hAnsi="仿宋" w:eastAsia="宋体" w:cs="仿宋"/>
          <w:sz w:val="32"/>
          <w:szCs w:val="32"/>
          <w:lang w:eastAsia="zh-CN"/>
        </w:rPr>
        <w:t>明確</w:t>
      </w:r>
      <w:r>
        <w:rPr>
          <w:rFonts w:hint="eastAsia" w:ascii="仿宋_GB2312" w:hAnsi="仿宋" w:eastAsia="宋体" w:cs="仿宋"/>
          <w:sz w:val="32"/>
          <w:szCs w:val="32"/>
        </w:rPr>
        <w:t>跨境人民幣業務</w:t>
      </w:r>
      <w:r>
        <w:rPr>
          <w:rFonts w:hint="eastAsia" w:ascii="仿宋_GB2312" w:hAnsi="仿宋" w:eastAsia="宋体" w:cs="仿宋"/>
          <w:sz w:val="32"/>
          <w:szCs w:val="32"/>
          <w:lang w:eastAsia="zh-CN"/>
        </w:rPr>
        <w:t>相關問題</w:t>
      </w:r>
      <w:r>
        <w:rPr>
          <w:rFonts w:hint="eastAsia" w:ascii="仿宋_GB2312" w:hAnsi="仿宋" w:eastAsia="宋体" w:cs="仿宋"/>
          <w:sz w:val="32"/>
          <w:szCs w:val="32"/>
        </w:rPr>
        <w:t>的通知》（銀髮</w:t>
      </w:r>
      <w:r>
        <w:rPr>
          <w:rFonts w:hint="eastAsia" w:ascii="仿宋_GB2312" w:hAnsi="仿宋" w:eastAsia="宋体"/>
          <w:sz w:val="32"/>
          <w:szCs w:val="32"/>
        </w:rPr>
        <w:t>〔</w:t>
      </w:r>
      <w:r>
        <w:rPr>
          <w:rFonts w:hint="eastAsia" w:ascii="仿宋_GB2312" w:hAnsi="仿宋" w:eastAsia="宋体" w:cs="仿宋"/>
          <w:sz w:val="32"/>
          <w:szCs w:val="32"/>
        </w:rPr>
        <w:t>201</w:t>
      </w:r>
      <w:r>
        <w:rPr>
          <w:rFonts w:hint="eastAsia" w:ascii="仿宋_GB2312" w:hAnsi="仿宋" w:eastAsia="宋体" w:cs="仿宋"/>
          <w:sz w:val="32"/>
          <w:szCs w:val="32"/>
          <w:lang w:val="en-US" w:eastAsia="zh-CN"/>
        </w:rPr>
        <w:t>1</w:t>
      </w:r>
      <w:r>
        <w:rPr>
          <w:rFonts w:hint="eastAsia" w:ascii="仿宋_GB2312" w:hAnsi="仿宋" w:eastAsia="宋体"/>
          <w:sz w:val="32"/>
          <w:szCs w:val="32"/>
        </w:rPr>
        <w:t>〕</w:t>
      </w:r>
      <w:r>
        <w:rPr>
          <w:rFonts w:hint="eastAsia" w:ascii="仿宋_GB2312" w:hAnsi="仿宋" w:eastAsia="宋体" w:cs="仿宋"/>
          <w:sz w:val="32"/>
          <w:szCs w:val="32"/>
        </w:rPr>
        <w:t>1</w:t>
      </w:r>
      <w:r>
        <w:rPr>
          <w:rFonts w:hint="eastAsia" w:ascii="仿宋_GB2312" w:hAnsi="仿宋" w:eastAsia="宋体" w:cs="仿宋"/>
          <w:sz w:val="32"/>
          <w:szCs w:val="32"/>
          <w:lang w:val="en-US" w:eastAsia="zh-CN"/>
        </w:rPr>
        <w:t>45</w:t>
      </w:r>
      <w:r>
        <w:rPr>
          <w:rFonts w:hint="eastAsia" w:ascii="仿宋_GB2312" w:hAnsi="仿宋" w:eastAsia="宋体" w:cs="仿宋"/>
          <w:sz w:val="32"/>
          <w:szCs w:val="32"/>
        </w:rPr>
        <w:t>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val="en-US" w:eastAsia="zh-CN"/>
        </w:rPr>
        <w:t>3.</w:t>
      </w:r>
      <w:r>
        <w:rPr>
          <w:rFonts w:hint="eastAsia" w:ascii="仿宋_GB2312" w:hAnsi="仿宋" w:eastAsia="宋体" w:cs="仿宋"/>
          <w:sz w:val="32"/>
          <w:szCs w:val="32"/>
        </w:rPr>
        <w:t>《中國人民銀行關於簡化跨境人民幣業務流程和完善有關政策的通知》（銀髮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val="en-US" w:eastAsia="zh-CN"/>
        </w:rPr>
        <w:t>4</w:t>
      </w:r>
      <w:r>
        <w:rPr>
          <w:rFonts w:ascii="仿宋_GB2312" w:hAnsi="仿宋" w:eastAsia="宋体" w:cs="仿宋"/>
          <w:sz w:val="32"/>
          <w:szCs w:val="32"/>
        </w:rPr>
        <w:t>.</w:t>
      </w:r>
      <w:r>
        <w:rPr>
          <w:rFonts w:hint="eastAsia" w:ascii="仿宋_GB2312" w:hAnsi="仿宋" w:eastAsia="宋体" w:cs="仿宋"/>
          <w:sz w:val="32"/>
          <w:szCs w:val="32"/>
        </w:rPr>
        <w:t>《中國人民銀行關於貫徹落實&lt;國務院辦公廳關於支持外貿穩定增長的若干意見&gt;的指導意見》（銀髮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lang w:val="en-US" w:eastAsia="zh-CN"/>
        </w:rPr>
        <w:t>5</w:t>
      </w:r>
      <w:r>
        <w:rPr>
          <w:rFonts w:ascii="仿宋_GB2312" w:hAnsi="仿宋" w:eastAsia="宋体" w:cs="仿宋"/>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lang w:val="en-US" w:eastAsia="zh-CN"/>
        </w:rPr>
        <w:t>6</w:t>
      </w:r>
      <w:r>
        <w:rPr>
          <w:rFonts w:ascii="仿宋_GB2312" w:hAnsi="仿宋" w:eastAsia="宋体"/>
          <w:sz w:val="32"/>
          <w:szCs w:val="32"/>
        </w:rPr>
        <w:t>.</w:t>
      </w:r>
      <w:r>
        <w:rPr>
          <w:rFonts w:hint="eastAsia" w:ascii="仿宋_GB2312" w:hAnsi="仿宋" w:eastAsia="宋体"/>
          <w:sz w:val="32"/>
          <w:szCs w:val="32"/>
        </w:rPr>
        <w:t>《</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（三）客戶准入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業務經營範圍符合國家有關規定，客戶具備相應的業務資格或資質，基礎交易符合業務經營範圍。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（四）審核材料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（五）審核及操作要點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lang w:val="zh-CN"/>
        </w:rPr>
        <w:t>（</w:t>
      </w:r>
      <w:r>
        <w:rPr>
          <w:rFonts w:hint="eastAsia" w:ascii="仿宋_GB2312" w:hAnsi="仿宋" w:eastAsia="宋体" w:cs="仿宋"/>
          <w:sz w:val="32"/>
          <w:szCs w:val="32"/>
        </w:rPr>
        <w:t>1）辦理單筆40萬元（含）以下的服務貿易跨境人民幣收入，銀行原則上可不審核交易單證，但對於資金性質不明確的業務，銀行應要求境內機構和境內個人提交交易單證進行合理審查，交易單證可參考40萬元以上的服務貿易資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（2）關注客戶辦理單筆40萬元（含）以下的服務貿易跨境人民幣匯入，均參照可信客戶單筆40萬元（不含）以上的服務貿易跨境人民幣匯入業務標準審查，且不得適用針對優質企業的簡化流程。</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6.風險提示</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服務貿易項下跨境人民幣收入性質明顯不屬於企業經營範圍的，應進一步審核合同、發票等交易單證後方可辦理款項收入。</w:t>
      </w:r>
    </w:p>
    <w:p>
      <w:pPr>
        <w:pStyle w:val="3"/>
        <w:adjustRightInd w:val="0"/>
        <w:snapToGrid w:val="0"/>
        <w:spacing w:before="0" w:after="0" w:line="560" w:lineRule="exact"/>
        <w:ind w:firstLine="640" w:firstLineChars="200"/>
        <w:rPr>
          <w:rFonts w:ascii="黑体" w:hAnsi="黑体" w:cs="仿宋"/>
          <w:b w:val="0"/>
        </w:rPr>
      </w:pPr>
      <w:bookmarkStart w:id="59" w:name="_Toc506194414"/>
      <w:bookmarkStart w:id="60" w:name="_Toc65325590"/>
      <w:r>
        <w:rPr>
          <w:rFonts w:hint="eastAsia" w:ascii="黑体" w:hAnsi="黑体" w:eastAsia="宋体" w:cs="仿宋"/>
          <w:b w:val="0"/>
        </w:rPr>
        <w:t>二、單筆40萬元（不含）以上的服務貿易跨境人民幣匯入</w:t>
      </w:r>
      <w:bookmarkEnd w:id="59"/>
      <w:bookmarkEnd w:id="60"/>
    </w:p>
    <w:p>
      <w:pPr>
        <w:pStyle w:val="4"/>
        <w:adjustRightInd w:val="0"/>
        <w:snapToGrid w:val="0"/>
        <w:spacing w:before="0" w:after="0" w:line="560" w:lineRule="exact"/>
        <w:ind w:firstLine="643" w:firstLineChars="200"/>
        <w:rPr>
          <w:rFonts w:ascii="仿宋_GB2312" w:hAnsi="黑体" w:eastAsia="仿宋_GB2312" w:cs="仿宋"/>
          <w:bCs w:val="0"/>
          <w:sz w:val="30"/>
          <w:szCs w:val="30"/>
        </w:rPr>
      </w:pPr>
      <w:bookmarkStart w:id="61" w:name="_Toc506194415"/>
      <w:bookmarkStart w:id="62" w:name="_Toc65325591"/>
      <w:r>
        <w:rPr>
          <w:rFonts w:hint="eastAsia" w:ascii="仿宋_GB2312" w:hAnsi="黑体" w:eastAsia="宋体" w:cs="仿宋"/>
          <w:bCs w:val="0"/>
        </w:rPr>
        <w:t>（一）國際運輸項下資金匯入</w:t>
      </w:r>
      <w:bookmarkEnd w:id="61"/>
      <w:bookmarkEnd w:id="62"/>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海運指使用船舶通過海上航道在不同國家和地區的港口之間提供運輸服務的一種方式，包括各項海洋運輸服務以及多式聯運中海洋運輸部分。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空運指使用飛機或其他航空器作為載體在不同國家和地區之間提供運輸服務的一種方式，包括各項空中運輸服務以及多式聯運中空中運輸部分。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其他運輸方式，指使用除海運或空運外的其他運輸方式提供運輸服務的一種方式，包括陸地、國內的水道運輸、外層空間及管道運輸、火箭發射以及多式聯運中的相應部分等。</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郵政及寄遞服務指信件、報紙、刊物、小冊子、其他印刷物、郵包和包裹的取件、運輸和遞送，郵局櫃檯和郵箱租賃服務。包括郵局櫃檯服務，如郵票和郵政匯票的銷售、留局待取服務、電報服務等；快遞和上門送貨。</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（4）</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（5）《</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業務經營範圍符合國家有關規定，客戶從事運輸服務具備相應的業務資格或資質，基礎交易符合業務經營範圍。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②運輸發票或運輸單據或運輸清單。</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①海運</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一般情況下可參考貿易價格條件判斷是否應該收取運費，詳見下表：</w:t>
      </w:r>
    </w:p>
    <w:tbl>
      <w:tblPr>
        <w:tblStyle w:val="31"/>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722"/>
        <w:gridCol w:w="3133"/>
        <w:gridCol w:w="21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90"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貨物移動方向</w:t>
            </w:r>
          </w:p>
        </w:tc>
        <w:tc>
          <w:tcPr>
            <w:tcW w:w="1722"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價格條件</w:t>
            </w:r>
          </w:p>
        </w:tc>
        <w:tc>
          <w:tcPr>
            <w:tcW w:w="3133"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境外企業是否有義務租船或訂艙並支付到目的港的海運費</w:t>
            </w:r>
          </w:p>
        </w:tc>
        <w:tc>
          <w:tcPr>
            <w:tcW w:w="2177"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報關單上是否記載運費資訊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出口</w:t>
            </w:r>
          </w:p>
        </w:tc>
        <w:tc>
          <w:tcPr>
            <w:tcW w:w="1722" w:type="dxa"/>
            <w:vAlign w:val="center"/>
          </w:tcPr>
          <w:p>
            <w:pPr>
              <w:adjustRightInd w:val="0"/>
              <w:snapToGrid w:val="0"/>
              <w:spacing w:line="560" w:lineRule="exact"/>
              <w:rPr>
                <w:rFonts w:ascii="仿宋" w:hAnsi="仿宋" w:eastAsia="仿宋" w:cs="仿宋"/>
                <w:sz w:val="28"/>
                <w:szCs w:val="28"/>
              </w:rPr>
            </w:pPr>
            <w:r>
              <w:rPr>
                <w:rFonts w:hint="eastAsia" w:ascii="仿宋" w:hAnsi="仿宋" w:eastAsia="宋体" w:cs="仿宋"/>
                <w:sz w:val="28"/>
                <w:szCs w:val="28"/>
              </w:rPr>
              <w:t>FOB</w:t>
            </w:r>
          </w:p>
        </w:tc>
        <w:tc>
          <w:tcPr>
            <w:tcW w:w="3133"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是</w:t>
            </w:r>
          </w:p>
        </w:tc>
        <w:tc>
          <w:tcPr>
            <w:tcW w:w="2177"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adjustRightInd w:val="0"/>
              <w:snapToGrid w:val="0"/>
              <w:spacing w:line="560" w:lineRule="exact"/>
              <w:jc w:val="center"/>
              <w:rPr>
                <w:rFonts w:ascii="仿宋" w:hAnsi="仿宋" w:eastAsia="仿宋" w:cs="仿宋"/>
                <w:sz w:val="28"/>
                <w:szCs w:val="28"/>
              </w:rPr>
            </w:pPr>
          </w:p>
        </w:tc>
        <w:tc>
          <w:tcPr>
            <w:tcW w:w="1722" w:type="dxa"/>
            <w:vAlign w:val="center"/>
          </w:tcPr>
          <w:p>
            <w:pPr>
              <w:adjustRightInd w:val="0"/>
              <w:snapToGrid w:val="0"/>
              <w:spacing w:line="560" w:lineRule="exact"/>
              <w:rPr>
                <w:rFonts w:ascii="仿宋" w:hAnsi="仿宋" w:eastAsia="仿宋" w:cs="仿宋"/>
                <w:sz w:val="28"/>
                <w:szCs w:val="28"/>
              </w:rPr>
            </w:pPr>
            <w:r>
              <w:rPr>
                <w:rFonts w:hint="eastAsia" w:ascii="仿宋" w:hAnsi="仿宋" w:eastAsia="宋体" w:cs="仿宋"/>
                <w:sz w:val="28"/>
                <w:szCs w:val="28"/>
              </w:rPr>
              <w:t>CFR</w:t>
            </w:r>
          </w:p>
        </w:tc>
        <w:tc>
          <w:tcPr>
            <w:tcW w:w="3133"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否</w:t>
            </w:r>
          </w:p>
        </w:tc>
        <w:tc>
          <w:tcPr>
            <w:tcW w:w="2177"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adjustRightInd w:val="0"/>
              <w:snapToGrid w:val="0"/>
              <w:spacing w:line="560" w:lineRule="exact"/>
              <w:jc w:val="center"/>
              <w:rPr>
                <w:rFonts w:ascii="仿宋" w:hAnsi="仿宋" w:eastAsia="仿宋" w:cs="仿宋"/>
                <w:sz w:val="28"/>
                <w:szCs w:val="28"/>
              </w:rPr>
            </w:pPr>
          </w:p>
        </w:tc>
        <w:tc>
          <w:tcPr>
            <w:tcW w:w="1722" w:type="dxa"/>
            <w:vAlign w:val="center"/>
          </w:tcPr>
          <w:p>
            <w:pPr>
              <w:adjustRightInd w:val="0"/>
              <w:snapToGrid w:val="0"/>
              <w:spacing w:line="560" w:lineRule="exact"/>
              <w:rPr>
                <w:rFonts w:ascii="仿宋" w:hAnsi="仿宋" w:eastAsia="仿宋" w:cs="仿宋"/>
                <w:sz w:val="28"/>
                <w:szCs w:val="28"/>
              </w:rPr>
            </w:pPr>
            <w:r>
              <w:rPr>
                <w:rFonts w:hint="eastAsia" w:ascii="仿宋" w:hAnsi="仿宋" w:eastAsia="宋体" w:cs="仿宋"/>
                <w:sz w:val="28"/>
                <w:szCs w:val="28"/>
              </w:rPr>
              <w:t>CIF</w:t>
            </w:r>
          </w:p>
        </w:tc>
        <w:tc>
          <w:tcPr>
            <w:tcW w:w="3133"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否</w:t>
            </w:r>
          </w:p>
        </w:tc>
        <w:tc>
          <w:tcPr>
            <w:tcW w:w="2177"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restart"/>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進口</w:t>
            </w:r>
          </w:p>
        </w:tc>
        <w:tc>
          <w:tcPr>
            <w:tcW w:w="1722" w:type="dxa"/>
            <w:vAlign w:val="center"/>
          </w:tcPr>
          <w:p>
            <w:pPr>
              <w:adjustRightInd w:val="0"/>
              <w:snapToGrid w:val="0"/>
              <w:spacing w:line="560" w:lineRule="exact"/>
              <w:rPr>
                <w:rFonts w:ascii="仿宋" w:hAnsi="仿宋" w:eastAsia="仿宋" w:cs="仿宋"/>
                <w:sz w:val="28"/>
                <w:szCs w:val="28"/>
              </w:rPr>
            </w:pPr>
            <w:r>
              <w:rPr>
                <w:rFonts w:hint="eastAsia" w:ascii="仿宋" w:hAnsi="仿宋" w:eastAsia="宋体" w:cs="仿宋"/>
                <w:sz w:val="28"/>
                <w:szCs w:val="28"/>
              </w:rPr>
              <w:t>FOB</w:t>
            </w:r>
          </w:p>
        </w:tc>
        <w:tc>
          <w:tcPr>
            <w:tcW w:w="3133"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否</w:t>
            </w:r>
          </w:p>
        </w:tc>
        <w:tc>
          <w:tcPr>
            <w:tcW w:w="2177"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adjustRightInd w:val="0"/>
              <w:snapToGrid w:val="0"/>
              <w:spacing w:line="560" w:lineRule="exact"/>
              <w:jc w:val="center"/>
              <w:rPr>
                <w:rFonts w:ascii="仿宋" w:hAnsi="仿宋" w:eastAsia="仿宋" w:cs="仿宋"/>
                <w:sz w:val="28"/>
                <w:szCs w:val="28"/>
              </w:rPr>
            </w:pPr>
          </w:p>
        </w:tc>
        <w:tc>
          <w:tcPr>
            <w:tcW w:w="1722" w:type="dxa"/>
            <w:vAlign w:val="center"/>
          </w:tcPr>
          <w:p>
            <w:pPr>
              <w:adjustRightInd w:val="0"/>
              <w:snapToGrid w:val="0"/>
              <w:spacing w:line="560" w:lineRule="exact"/>
              <w:rPr>
                <w:rFonts w:ascii="仿宋" w:hAnsi="仿宋" w:eastAsia="仿宋" w:cs="仿宋"/>
                <w:sz w:val="28"/>
                <w:szCs w:val="28"/>
              </w:rPr>
            </w:pPr>
            <w:r>
              <w:rPr>
                <w:rFonts w:hint="eastAsia" w:ascii="仿宋" w:hAnsi="仿宋" w:eastAsia="宋体" w:cs="仿宋"/>
                <w:sz w:val="28"/>
                <w:szCs w:val="28"/>
              </w:rPr>
              <w:t>CFR</w:t>
            </w:r>
          </w:p>
        </w:tc>
        <w:tc>
          <w:tcPr>
            <w:tcW w:w="3133"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是</w:t>
            </w:r>
          </w:p>
        </w:tc>
        <w:tc>
          <w:tcPr>
            <w:tcW w:w="2177"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vMerge w:val="continue"/>
            <w:vAlign w:val="center"/>
          </w:tcPr>
          <w:p>
            <w:pPr>
              <w:adjustRightInd w:val="0"/>
              <w:snapToGrid w:val="0"/>
              <w:spacing w:line="560" w:lineRule="exact"/>
              <w:jc w:val="center"/>
              <w:rPr>
                <w:rFonts w:ascii="仿宋" w:hAnsi="仿宋" w:eastAsia="仿宋" w:cs="仿宋"/>
                <w:sz w:val="28"/>
                <w:szCs w:val="28"/>
              </w:rPr>
            </w:pPr>
          </w:p>
        </w:tc>
        <w:tc>
          <w:tcPr>
            <w:tcW w:w="1722" w:type="dxa"/>
            <w:vAlign w:val="center"/>
          </w:tcPr>
          <w:p>
            <w:pPr>
              <w:adjustRightInd w:val="0"/>
              <w:snapToGrid w:val="0"/>
              <w:spacing w:line="560" w:lineRule="exact"/>
              <w:rPr>
                <w:rFonts w:ascii="仿宋" w:hAnsi="仿宋" w:eastAsia="仿宋" w:cs="仿宋"/>
                <w:sz w:val="28"/>
                <w:szCs w:val="28"/>
              </w:rPr>
            </w:pPr>
            <w:r>
              <w:rPr>
                <w:rFonts w:hint="eastAsia" w:ascii="仿宋" w:hAnsi="仿宋" w:eastAsia="宋体" w:cs="仿宋"/>
                <w:sz w:val="28"/>
                <w:szCs w:val="28"/>
              </w:rPr>
              <w:t>CIF</w:t>
            </w:r>
          </w:p>
        </w:tc>
        <w:tc>
          <w:tcPr>
            <w:tcW w:w="3133"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是</w:t>
            </w:r>
          </w:p>
        </w:tc>
        <w:tc>
          <w:tcPr>
            <w:tcW w:w="2177"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宋体" w:cs="仿宋"/>
                <w:sz w:val="28"/>
                <w:szCs w:val="28"/>
              </w:rPr>
              <w:t>否</w:t>
            </w:r>
          </w:p>
        </w:tc>
      </w:tr>
    </w:tbl>
    <w:p>
      <w:pPr>
        <w:adjustRightInd w:val="0"/>
        <w:snapToGrid w:val="0"/>
        <w:spacing w:line="560" w:lineRule="exact"/>
        <w:ind w:firstLine="600" w:firstLineChars="200"/>
        <w:rPr>
          <w:rFonts w:ascii="仿宋" w:hAnsi="仿宋" w:eastAsia="仿宋" w:cs="仿宋"/>
          <w:sz w:val="30"/>
          <w:szCs w:val="30"/>
        </w:rPr>
      </w:pP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客戶為海運企業或海運代理企業的，應要求其提供運輸合同或協議、海運提單和境外船運公司提供的發票；對於涉嫌虛構或分拆交易的，應與貨主核實單據真偽。</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②空運</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客戶為空運企業或空運代理企業的，應要求其提供運輸合同或協議、空運單據和運輸發票；對於涉嫌虛構或分拆交易的，應與貨主核實單據真偽。</w:t>
      </w:r>
    </w:p>
    <w:p>
      <w:pPr>
        <w:adjustRightInd w:val="0"/>
        <w:snapToGrid w:val="0"/>
        <w:spacing w:line="560" w:lineRule="exact"/>
        <w:ind w:left="600"/>
        <w:rPr>
          <w:rFonts w:ascii="仿宋_GB2312" w:hAnsi="仿宋" w:eastAsia="仿宋_GB2312" w:cs="仿宋"/>
          <w:sz w:val="32"/>
          <w:szCs w:val="32"/>
        </w:rPr>
      </w:pPr>
      <w:r>
        <w:rPr>
          <w:rFonts w:hint="eastAsia" w:ascii="仿宋_GB2312" w:hAnsi="仿宋" w:eastAsia="宋体" w:cs="仿宋"/>
          <w:sz w:val="32"/>
          <w:szCs w:val="32"/>
        </w:rPr>
        <w:t>③其他運輸方式、郵政及寄遞服務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應要求其提交運輸或郵政或寄遞運輸相關單據材料；涉嫌虛構或分拆交易的，應與運輸公司或運輸代理商核實單據真偽。</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（1）應對企業的業務性質、貨物貿易涉外收付規模、運輸內容和運輸路程等情況進行全面瞭解和分析。</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2）原則上需審核運輸發票或運輸單據，銀行僅在對客戶有充分瞭解且客戶單筆收款對應較多的運輸發票或運輸單據時，方可以允許客戶提供蓋章的運輸清單（逐筆列明運輸發票或運輸單據號），以代替運輸發票或運輸單據。</w:t>
      </w:r>
    </w:p>
    <w:p>
      <w:pPr>
        <w:pStyle w:val="4"/>
        <w:adjustRightInd w:val="0"/>
        <w:snapToGrid w:val="0"/>
        <w:spacing w:before="0" w:after="0" w:line="560" w:lineRule="exact"/>
        <w:ind w:firstLine="643" w:firstLineChars="200"/>
        <w:rPr>
          <w:rFonts w:ascii="仿宋_GB2312" w:hAnsi="黑体" w:eastAsia="仿宋_GB2312" w:cs="仿宋"/>
          <w:bCs w:val="0"/>
        </w:rPr>
      </w:pPr>
      <w:bookmarkStart w:id="63" w:name="_Toc65325592"/>
      <w:bookmarkStart w:id="64" w:name="_Toc506194416"/>
      <w:r>
        <w:rPr>
          <w:rFonts w:hint="eastAsia" w:ascii="仿宋_GB2312" w:hAnsi="黑体" w:eastAsia="宋体" w:cs="仿宋"/>
          <w:bCs w:val="0"/>
        </w:rPr>
        <w:t>（二）對外勞務合作或對外承包工程項下資金匯入</w:t>
      </w:r>
      <w:bookmarkEnd w:id="63"/>
      <w:bookmarkEnd w:id="64"/>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對外勞務合作是指組織勞務人員赴其他國家或者地區為境外主體工作的經營性活動；對外承包工程是指中國的企業或其他單位承包境外建設工程專案的活動。</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（4）</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（5）《</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業務經營範圍符合國家有關規定，客戶從事對外勞務合作或對外承包工程具備相應的業務資格或資質，基礎交易符合業務經營範圍。對外承包工程企業進行投（議）標應完成對外承包工程專案備案。</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②合同（協議）或勞務預算表（工程預算表或工程結算單）。</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①對外承包工程收入，應提供包含承包方式、工程規模、工程進度和完工期限，以及工程款項的劃撥和使用情況等關鍵要素的情況說明或相關證明材料。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②對外勞務承包收入，應提供注明身份證件號碼的勞務人員名單表。</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（1）境內機構因境外承包工程在我國境內採購的物資出口，應按照貨物貿易相關規定辦理。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銀行可開展對外承包工程類優質企業跨境人民幣結算業務便利化試點，在“展業三原則”基礎上，為對外承包工程類優質企業的服務貿易提供更加便利化的跨境人民幣金融服務。境內銀行開展試點業務，應通過省級跨境人民幣業務自律機制明確對外承包工程類優質企業的認定標準並制定具體實施方案。</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6.風險提示</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分析承包工程各類情況，包括但不限於發包方、總包方和分包方之間的權責劃分、資金走向，對交易背景的真實性和關聯交易的合理性加強盡職審查並審慎辦理。</w:t>
      </w:r>
    </w:p>
    <w:p>
      <w:pPr>
        <w:pStyle w:val="4"/>
        <w:adjustRightInd w:val="0"/>
        <w:snapToGrid w:val="0"/>
        <w:spacing w:before="0" w:after="0" w:line="560" w:lineRule="exact"/>
        <w:ind w:firstLine="643" w:firstLineChars="200"/>
        <w:rPr>
          <w:rFonts w:ascii="仿宋_GB2312" w:hAnsi="黑体" w:eastAsia="仿宋_GB2312"/>
          <w:bCs w:val="0"/>
          <w:sz w:val="36"/>
          <w:szCs w:val="36"/>
        </w:rPr>
      </w:pPr>
      <w:bookmarkStart w:id="65" w:name="_Toc65325593"/>
      <w:bookmarkStart w:id="66" w:name="_Toc506194417"/>
      <w:r>
        <w:rPr>
          <w:rFonts w:hint="eastAsia" w:ascii="仿宋_GB2312" w:hAnsi="黑体" w:eastAsia="宋体" w:cs="仿宋"/>
          <w:bCs w:val="0"/>
        </w:rPr>
        <w:t>（三）境外來華承包工程簽訂合同之前服務貿易項下前期費用資金匯入</w:t>
      </w:r>
      <w:bookmarkEnd w:id="65"/>
      <w:bookmarkEnd w:id="66"/>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境外來華承包工程是指境外機構在符合我國相關法律法規規定的情況下來我國境內承包工程專案建設的情形。</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（4）</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r>
        <w:rPr>
          <w:rFonts w:hint="eastAsia" w:ascii="仿宋_GB2312" w:hAnsi="仿宋" w:eastAsia="宋体"/>
          <w:sz w:val="32"/>
          <w:szCs w:val="32"/>
          <w:lang w:eastAsia="zh-CN"/>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（5）《</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②合同（協議）或申請書（包括但不限於前期費用預算情況、使用時間、境內收款人與境外機構之間的關係等）。</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①與工程專案有關的相關證明材料。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②前期費用使用後，補交資金用途的證明材料。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（1）確認來華工程承包業務的真實性，並對匯入款項的後續使用開展持續性監測。</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（2）向RCPMIS系統報送資訊時，應在交易附言欄目中標明“前期費用”字樣。</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6.風險提示</w:t>
      </w:r>
    </w:p>
    <w:p>
      <w:pPr>
        <w:adjustRightInd w:val="0"/>
        <w:snapToGrid w:val="0"/>
        <w:spacing w:line="560" w:lineRule="exact"/>
        <w:ind w:firstLine="640" w:firstLineChars="200"/>
        <w:rPr>
          <w:rFonts w:ascii="仿宋" w:hAnsi="仿宋" w:eastAsia="仿宋"/>
          <w:sz w:val="30"/>
          <w:szCs w:val="30"/>
        </w:rPr>
      </w:pPr>
      <w:r>
        <w:rPr>
          <w:rFonts w:hint="eastAsia" w:ascii="仿宋_GB2312" w:hAnsi="仿宋" w:eastAsia="宋体" w:cs="仿宋"/>
          <w:sz w:val="32"/>
          <w:szCs w:val="32"/>
        </w:rPr>
        <w:t>分析承包工程各類情況，包括但不限於發包方、總包方和分包方之間的權責劃分、資金走向，對交易背景的真實性和關聯交易的合理性加強盡職審查並審慎辦理。</w:t>
      </w:r>
    </w:p>
    <w:p>
      <w:pPr>
        <w:pStyle w:val="4"/>
        <w:adjustRightInd w:val="0"/>
        <w:snapToGrid w:val="0"/>
        <w:spacing w:before="0" w:after="0" w:line="560" w:lineRule="exact"/>
        <w:ind w:firstLine="643" w:firstLineChars="200"/>
        <w:rPr>
          <w:rFonts w:ascii="仿宋_GB2312" w:hAnsi="黑体" w:eastAsia="仿宋_GB2312" w:cs="仿宋"/>
          <w:bCs w:val="0"/>
        </w:rPr>
      </w:pPr>
      <w:bookmarkStart w:id="67" w:name="_Toc65325594"/>
      <w:bookmarkStart w:id="68" w:name="_Toc506194418"/>
      <w:r>
        <w:rPr>
          <w:rFonts w:hint="eastAsia" w:ascii="仿宋_GB2312" w:hAnsi="黑体" w:eastAsia="宋体" w:cs="仿宋"/>
          <w:bCs w:val="0"/>
        </w:rPr>
        <w:t>（四）技術出口項下資金匯入</w:t>
      </w:r>
      <w:bookmarkEnd w:id="67"/>
      <w:bookmarkEnd w:id="68"/>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技術出口是指從境內向境外，通過貿易、投資或者經濟技術合作的方式轉移技術的行為。包括專利權轉讓、專利申請權轉讓、專利實施許可、技術秘密轉讓、技術服務和其他方式的技術轉移。</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（4）</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（5）《</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②合同（協議）或發票（付款通知）。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商務部門頒發的《技術進出口許可證》和其他技術出口的真實性證明材料。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登錄國家商務部網站（www.mofcom.gov.cn）於首頁公開目錄中查詢技術進出口業務是否屬於“禁止出口限制出口技術目錄”。</w:t>
      </w:r>
    </w:p>
    <w:p>
      <w:pPr>
        <w:pStyle w:val="4"/>
        <w:adjustRightInd w:val="0"/>
        <w:snapToGrid w:val="0"/>
        <w:spacing w:before="0" w:after="0" w:line="560" w:lineRule="exact"/>
        <w:ind w:firstLine="643" w:firstLineChars="200"/>
        <w:rPr>
          <w:rFonts w:ascii="仿宋_GB2312" w:hAnsi="黑体" w:eastAsia="仿宋_GB2312" w:cs="仿宋"/>
          <w:bCs w:val="0"/>
        </w:rPr>
      </w:pPr>
      <w:bookmarkStart w:id="69" w:name="_Toc506194419"/>
      <w:bookmarkStart w:id="70" w:name="_Toc65325595"/>
      <w:r>
        <w:rPr>
          <w:rFonts w:hint="eastAsia" w:ascii="仿宋_GB2312" w:hAnsi="黑体" w:eastAsia="宋体" w:cs="仿宋"/>
          <w:bCs w:val="0"/>
        </w:rPr>
        <w:t>（五）代表處（辦事處）辦公經費項下資金匯入</w:t>
      </w:r>
      <w:bookmarkEnd w:id="69"/>
      <w:bookmarkEnd w:id="70"/>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辦事處、代表處等辦公經費指辦事處、代表處在開設時的啟動資金和運營經費。</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（4）</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（5）《</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（1）跨境人民幣結算收款說明</w:t>
      </w:r>
      <w:r>
        <w:rPr>
          <w:rFonts w:hint="eastAsia" w:ascii="仿宋_GB2312" w:hAnsi="仿宋" w:eastAsia="宋体"/>
          <w:sz w:val="32"/>
          <w:szCs w:val="32"/>
        </w:rPr>
        <w:t>，可使用辦事處、代表處提交的紙質形式或電子形式的收付款指令代替，辦事處、代表處提交的收付款指令應滿足國際收支申報和跨境人民幣業務資訊報送要求；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（2）經費預算表；</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（3）對於關注客戶，銀行</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要求其事後補交反映後續資金用途的證明材料等。</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辦事處、代表處等辦公經費收支業務辦理前需確定是國家相關主管部門批准同意設立的機構。辦公經費僅限經常專案支出，不應用於購買房產、買車等固定資產投資。</w:t>
      </w:r>
    </w:p>
    <w:p>
      <w:pPr>
        <w:pStyle w:val="4"/>
        <w:adjustRightInd w:val="0"/>
        <w:snapToGrid w:val="0"/>
        <w:spacing w:before="0" w:after="0" w:line="560" w:lineRule="exact"/>
        <w:ind w:firstLine="643" w:firstLineChars="200"/>
        <w:rPr>
          <w:rFonts w:ascii="仿宋_GB2312" w:hAnsi="黑体" w:eastAsia="仿宋_GB2312" w:cs="仿宋"/>
          <w:bCs w:val="0"/>
        </w:rPr>
      </w:pPr>
      <w:bookmarkStart w:id="71" w:name="_Toc479692220"/>
      <w:bookmarkStart w:id="72" w:name="_Toc65325596"/>
      <w:bookmarkStart w:id="73" w:name="_Toc506194420"/>
      <w:r>
        <w:rPr>
          <w:rFonts w:hint="eastAsia" w:ascii="仿宋_GB2312" w:hAnsi="黑体" w:eastAsia="宋体" w:cs="仿宋"/>
          <w:bCs w:val="0"/>
        </w:rPr>
        <w:t>（六）</w:t>
      </w:r>
      <w:bookmarkEnd w:id="71"/>
      <w:r>
        <w:rPr>
          <w:rFonts w:hint="eastAsia" w:ascii="仿宋_GB2312" w:hAnsi="黑体" w:eastAsia="宋体" w:cs="仿宋"/>
          <w:bCs w:val="0"/>
        </w:rPr>
        <w:t>國際賠償款項下資金匯入</w:t>
      </w:r>
      <w:bookmarkEnd w:id="72"/>
      <w:bookmarkEnd w:id="73"/>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國際賠償（即與保險無關的賠償）款項下資金匯入，指不是通過保險公司投保賠付而支付的賠償款項的匯入業務。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（4）</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（5）《</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②原始交易合同和賠償協議（賠償條款）。</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①整個賠償過程的相關說明或證明材料。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如有法院判決書或仲裁機構出具的仲裁書或有權調解機構出具的調解書，可審核後直接辦理；如無法院判決書或仲裁機構出具的仲裁書或有權調解機構出具的調解書，應要求客戶提供第三方出具的相關證明材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（1）應加強對基礎交易單據的審核，認真審核各項單據所記載內容的一致性，除對合同等單據表面真實性的審核外，還可通過其他管道核查基礎交易背景真實性。如第三方對貨物品質問題的鑒定證明材料。</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（2）賠償金額占原始交易金額的比例應在合理區間內。</w:t>
      </w:r>
    </w:p>
    <w:p>
      <w:pPr>
        <w:pStyle w:val="4"/>
        <w:adjustRightInd w:val="0"/>
        <w:snapToGrid w:val="0"/>
        <w:spacing w:before="0" w:after="0" w:line="560" w:lineRule="exact"/>
        <w:ind w:firstLine="643" w:firstLineChars="200"/>
        <w:rPr>
          <w:rFonts w:ascii="仿宋_GB2312" w:hAnsi="黑体" w:eastAsia="仿宋_GB2312" w:cs="仿宋"/>
          <w:bCs w:val="0"/>
        </w:rPr>
      </w:pPr>
      <w:bookmarkStart w:id="74" w:name="_Toc506194421"/>
      <w:bookmarkStart w:id="75" w:name="_Toc65325597"/>
      <w:r>
        <w:rPr>
          <w:rFonts w:hint="eastAsia" w:ascii="仿宋_GB2312" w:hAnsi="黑体" w:eastAsia="宋体" w:cs="仿宋"/>
          <w:bCs w:val="0"/>
        </w:rPr>
        <w:t>（七）具有關聯關係的境內外機構代墊或分攤的服務貿易費用項下資金匯入</w:t>
      </w:r>
      <w:bookmarkEnd w:id="74"/>
      <w:bookmarkEnd w:id="75"/>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指居民與非居民基於原始交易，委託境內外關聯公司墊付或分攤服務貿易費用而產生的資金匯入。</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（4）</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（5）《</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②原始交易合同；</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③代墊或分攤合同（協議或說明）或發票（支付通知）。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分攤費用各方關係證明。</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（1）審核原始交易合同、代墊或分攤合同（協議或說明）、發票（支付通知）的相關性、合理性、一致性。</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（2）代墊或分攤費用限於具有關聯關係的境內外機構之間。</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（3）代墊或分攤期限原則上不得超過12個月。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（4）向RCPMIS系統報送資訊時，應在交易附言欄目中標明“代墊”、“分攤”字樣。</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（5）專案、工程、成套設備等的交付期限長，代墊或分攤期限原則上不得超過36個月。</w:t>
      </w:r>
    </w:p>
    <w:p>
      <w:pPr>
        <w:pStyle w:val="4"/>
        <w:adjustRightInd w:val="0"/>
        <w:snapToGrid w:val="0"/>
        <w:spacing w:before="0" w:after="0" w:line="560" w:lineRule="exact"/>
        <w:ind w:firstLine="643" w:firstLineChars="200"/>
        <w:rPr>
          <w:rFonts w:ascii="仿宋_GB2312" w:hAnsi="黑体" w:eastAsia="仿宋_GB2312" w:cs="仿宋"/>
          <w:bCs w:val="0"/>
        </w:rPr>
      </w:pPr>
      <w:bookmarkStart w:id="76" w:name="_Toc506194422"/>
      <w:bookmarkStart w:id="77" w:name="_Toc65325598"/>
      <w:r>
        <w:rPr>
          <w:rFonts w:hint="eastAsia" w:ascii="仿宋_GB2312" w:hAnsi="黑体" w:eastAsia="宋体" w:cs="仿宋"/>
          <w:bCs w:val="0"/>
        </w:rPr>
        <w:t>（八）服務貿易項下退款資金匯入</w:t>
      </w:r>
      <w:bookmarkEnd w:id="76"/>
      <w:bookmarkEnd w:id="77"/>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服務貿易項下退款是指有實際的國際交易發生並且付款人已經付款，但由於不符合合同約定項導致交易被撤銷時發生的退款；或指無實際的國際交易背景，由於付款人的錯誤而發生的款項錯匯。</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（4）《</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業務經營範圍符合國家有關規定，具備相應的業務資格或資質，基礎交易符合業務經營範圍。原匯出資金交易真實。</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②客戶退款申請及退款原因相關說明或證明材料等。</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原匯出資金交易性質規定的交易單證。</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（1）服務貿易項下退款，應按照原匯出資金交易性質審查並留存規定的交易單證和整個退款過程的相關說明或證明材料。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（2）退款金額不得超過原匯出金額，且原路退回</w:t>
      </w:r>
      <w:r>
        <w:rPr>
          <w:rFonts w:hint="eastAsia" w:ascii="仿宋_GB2312" w:hAnsi="仿宋" w:eastAsia="宋体"/>
          <w:sz w:val="32"/>
          <w:szCs w:val="32"/>
        </w:rPr>
        <w:t>（退款業務付款人為原收款人、退款業務收款人為原付款人）</w:t>
      </w:r>
      <w:r>
        <w:rPr>
          <w:rFonts w:hint="eastAsia" w:ascii="仿宋_GB2312" w:hAnsi="仿宋" w:eastAsia="宋体" w:cs="仿宋"/>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（3）退款幣種應與原付款幣種一致。</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（4）向RCPMIS系統報送資訊時，應在交易附言欄目中標明“退款”字樣。</w:t>
      </w:r>
    </w:p>
    <w:p>
      <w:pPr>
        <w:pStyle w:val="4"/>
        <w:adjustRightInd w:val="0"/>
        <w:snapToGrid w:val="0"/>
        <w:spacing w:before="0" w:after="0" w:line="560" w:lineRule="exact"/>
        <w:ind w:firstLine="643" w:firstLineChars="200"/>
        <w:rPr>
          <w:rFonts w:ascii="仿宋_GB2312" w:hAnsi="黑体" w:eastAsia="仿宋_GB2312" w:cs="仿宋"/>
          <w:bCs w:val="0"/>
          <w:sz w:val="30"/>
          <w:szCs w:val="30"/>
        </w:rPr>
      </w:pPr>
      <w:bookmarkStart w:id="78" w:name="_Toc65325599"/>
      <w:bookmarkStart w:id="79" w:name="_Toc506194423"/>
      <w:r>
        <w:rPr>
          <w:rFonts w:hint="eastAsia" w:ascii="仿宋_GB2312" w:hAnsi="黑体" w:eastAsia="宋体" w:cs="仿宋"/>
          <w:bCs w:val="0"/>
        </w:rPr>
        <w:t>（九）其他服務貿易項下資金匯入</w:t>
      </w:r>
      <w:bookmarkEnd w:id="78"/>
      <w:bookmarkEnd w:id="79"/>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其他服務貿易項下資金匯入指上述未提及的其他服務貿易項下匯入業務。</w:t>
      </w:r>
    </w:p>
    <w:p>
      <w:pPr>
        <w:adjustRightInd w:val="0"/>
        <w:snapToGrid w:val="0"/>
        <w:spacing w:line="560" w:lineRule="exact"/>
        <w:ind w:firstLine="643" w:firstLineChars="200"/>
        <w:rPr>
          <w:rFonts w:ascii="仿宋_GB2312" w:hAnsi="宋体" w:eastAsia="仿宋_GB2312" w:cs="仿宋"/>
          <w:b/>
          <w:bCs/>
          <w:sz w:val="32"/>
          <w:szCs w:val="32"/>
        </w:rPr>
      </w:pPr>
      <w:r>
        <w:rPr>
          <w:rFonts w:hint="eastAsia" w:ascii="仿宋_GB2312" w:hAnsi="宋体" w:eastAsia="宋体" w:cs="仿宋"/>
          <w:b/>
          <w:bCs/>
          <w:sz w:val="32"/>
          <w:szCs w:val="32"/>
        </w:rPr>
        <w:t>2.政策依據</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（1）《</w:t>
      </w:r>
      <w:r>
        <w:rPr>
          <w:rFonts w:hint="eastAsia" w:ascii="仿宋_GB2312" w:hAnsi="宋体"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宋体" w:eastAsia="宋体" w:cs="仿宋"/>
          <w:sz w:val="32"/>
          <w:szCs w:val="32"/>
        </w:rPr>
        <w:t>》（銀髮</w:t>
      </w:r>
      <w:r>
        <w:rPr>
          <w:rFonts w:hint="eastAsia" w:ascii="仿宋_GB2312" w:hAnsi="宋体" w:eastAsia="宋体"/>
          <w:sz w:val="32"/>
          <w:szCs w:val="32"/>
        </w:rPr>
        <w:t>〔</w:t>
      </w:r>
      <w:r>
        <w:rPr>
          <w:rFonts w:hint="eastAsia" w:ascii="仿宋_GB2312" w:hAnsi="宋体" w:eastAsia="宋体" w:cs="仿宋"/>
          <w:sz w:val="32"/>
          <w:szCs w:val="32"/>
        </w:rPr>
        <w:t>2010</w:t>
      </w:r>
      <w:r>
        <w:rPr>
          <w:rFonts w:hint="eastAsia" w:ascii="仿宋_GB2312" w:hAnsi="宋体" w:eastAsia="宋体"/>
          <w:sz w:val="32"/>
          <w:szCs w:val="32"/>
        </w:rPr>
        <w:t>〕</w:t>
      </w:r>
      <w:r>
        <w:rPr>
          <w:rFonts w:hint="eastAsia" w:ascii="仿宋_GB2312" w:hAnsi="宋体" w:eastAsia="宋体" w:cs="仿宋"/>
          <w:sz w:val="32"/>
          <w:szCs w:val="32"/>
        </w:rPr>
        <w:t>186號）；</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（2）《中國人民銀行關於簡化跨境人民幣業務流程和完善有關政策的通知》（銀髮</w:t>
      </w:r>
      <w:r>
        <w:rPr>
          <w:rFonts w:hint="eastAsia" w:ascii="仿宋_GB2312" w:hAnsi="宋体" w:eastAsia="宋体"/>
          <w:sz w:val="32"/>
          <w:szCs w:val="32"/>
        </w:rPr>
        <w:t>〔</w:t>
      </w:r>
      <w:r>
        <w:rPr>
          <w:rFonts w:hint="eastAsia" w:ascii="仿宋_GB2312" w:hAnsi="宋体" w:eastAsia="宋体" w:cs="仿宋"/>
          <w:sz w:val="32"/>
          <w:szCs w:val="32"/>
        </w:rPr>
        <w:t>2013</w:t>
      </w:r>
      <w:r>
        <w:rPr>
          <w:rFonts w:hint="eastAsia" w:ascii="仿宋_GB2312" w:hAnsi="宋体" w:eastAsia="宋体"/>
          <w:sz w:val="32"/>
          <w:szCs w:val="32"/>
        </w:rPr>
        <w:t>〕</w:t>
      </w:r>
      <w:r>
        <w:rPr>
          <w:rFonts w:hint="eastAsia" w:ascii="仿宋_GB2312" w:hAnsi="宋体" w:eastAsia="宋体" w:cs="仿宋"/>
          <w:sz w:val="32"/>
          <w:szCs w:val="32"/>
        </w:rPr>
        <w:t>168號）；</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（3）《中國人民銀行關於貫徹落實&lt;國務院辦公廳關於支持外貿穩定增長的若干意見&gt;的指導意見》（銀髮</w:t>
      </w:r>
      <w:r>
        <w:rPr>
          <w:rFonts w:hint="eastAsia" w:ascii="仿宋_GB2312" w:hAnsi="宋体" w:eastAsia="宋体"/>
          <w:sz w:val="32"/>
          <w:szCs w:val="32"/>
        </w:rPr>
        <w:t>〔</w:t>
      </w:r>
      <w:r>
        <w:rPr>
          <w:rFonts w:hint="eastAsia" w:ascii="仿宋_GB2312" w:hAnsi="宋体" w:eastAsia="宋体" w:cs="仿宋"/>
          <w:sz w:val="32"/>
          <w:szCs w:val="32"/>
        </w:rPr>
        <w:t>2014</w:t>
      </w:r>
      <w:r>
        <w:rPr>
          <w:rFonts w:hint="eastAsia" w:ascii="仿宋_GB2312" w:hAnsi="宋体" w:eastAsia="宋体"/>
          <w:sz w:val="32"/>
          <w:szCs w:val="32"/>
        </w:rPr>
        <w:t>〕</w:t>
      </w:r>
      <w:r>
        <w:rPr>
          <w:rFonts w:hint="eastAsia" w:ascii="仿宋_GB2312" w:hAnsi="宋体" w:eastAsia="宋体" w:cs="仿宋"/>
          <w:sz w:val="32"/>
          <w:szCs w:val="32"/>
        </w:rPr>
        <w:t>168號）；</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宋体" w:cs="仿宋"/>
          <w:sz w:val="32"/>
          <w:szCs w:val="32"/>
        </w:rPr>
        <w:t>（4）</w:t>
      </w:r>
      <w:r>
        <w:rPr>
          <w:rFonts w:hint="eastAsia" w:ascii="仿宋_GB2312" w:hAnsi="宋体" w:eastAsia="宋体"/>
          <w:sz w:val="32"/>
          <w:szCs w:val="32"/>
        </w:rPr>
        <w:t>《</w:t>
      </w:r>
      <w:r>
        <w:rPr>
          <w:rFonts w:hint="eastAsia" w:ascii="仿宋_GB2312" w:hAnsi="宋体" w:eastAsia="宋体"/>
          <w:sz w:val="32"/>
          <w:szCs w:val="32"/>
          <w:lang w:eastAsia="zh-CN"/>
        </w:rPr>
        <w:t>中國人民銀行關於進一步完善人民幣跨境業務政策促進貿易投資便利化的通知</w:t>
      </w:r>
      <w:r>
        <w:rPr>
          <w:rFonts w:hint="eastAsia" w:ascii="仿宋_GB2312" w:hAnsi="宋体" w:eastAsia="宋体"/>
          <w:sz w:val="32"/>
          <w:szCs w:val="32"/>
        </w:rPr>
        <w:t>》（銀髮〔2018〕3號）；</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宋体"/>
          <w:sz w:val="32"/>
          <w:szCs w:val="32"/>
        </w:rPr>
        <w:t>（5）《</w:t>
      </w:r>
      <w:r>
        <w:rPr>
          <w:rFonts w:hint="eastAsia" w:ascii="仿宋_GB2312" w:hAnsi="宋体"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宋体" w:eastAsia="宋体"/>
          <w:sz w:val="32"/>
          <w:szCs w:val="32"/>
        </w:rPr>
        <w:t>》（銀髮〔2020〕330號）。</w:t>
      </w:r>
    </w:p>
    <w:p>
      <w:pPr>
        <w:adjustRightInd w:val="0"/>
        <w:snapToGrid w:val="0"/>
        <w:spacing w:line="560" w:lineRule="exact"/>
        <w:ind w:firstLine="643" w:firstLineChars="200"/>
        <w:rPr>
          <w:rFonts w:ascii="仿宋_GB2312" w:hAnsi="宋体" w:eastAsia="仿宋_GB2312" w:cs="仿宋"/>
          <w:b/>
          <w:bCs/>
          <w:sz w:val="32"/>
          <w:szCs w:val="32"/>
        </w:rPr>
      </w:pPr>
      <w:r>
        <w:rPr>
          <w:rFonts w:hint="eastAsia" w:ascii="仿宋_GB2312" w:hAnsi="宋体" w:eastAsia="宋体" w:cs="仿宋"/>
          <w:b/>
          <w:bCs/>
          <w:sz w:val="32"/>
          <w:szCs w:val="32"/>
        </w:rPr>
        <w:t>3.客戶准入</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宋体" w:eastAsia="仿宋_GB2312" w:cs="仿宋"/>
          <w:b/>
          <w:bCs/>
          <w:sz w:val="32"/>
          <w:szCs w:val="32"/>
        </w:rPr>
      </w:pPr>
      <w:r>
        <w:rPr>
          <w:rFonts w:hint="eastAsia" w:ascii="仿宋_GB2312" w:hAnsi="宋体" w:eastAsia="宋体" w:cs="仿宋"/>
          <w:b/>
          <w:bCs/>
          <w:sz w:val="32"/>
          <w:szCs w:val="32"/>
        </w:rPr>
        <w:t>4.審核材料</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（1）可信客戶</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①跨境人民幣結算收款說明，可使用企業提交的紙質形式或電子形式的收付款指令代替，企業提交的收付款指令應滿足國際收支申報和跨境人民幣業務資訊報送要求。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②合同（協議）或發票（支付通知）或相關其他交易單證。</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對於可信客戶中的優質企業，銀行可在“展業三原則”基礎上實施簡化流程，憑上述第①項為其直接辦理跨境結算。</w:t>
      </w:r>
    </w:p>
    <w:p>
      <w:pPr>
        <w:adjustRightInd w:val="0"/>
        <w:snapToGrid w:val="0"/>
        <w:spacing w:line="560" w:lineRule="exact"/>
        <w:ind w:firstLine="640" w:firstLineChars="200"/>
        <w:rPr>
          <w:rFonts w:ascii="仿宋_GB2312" w:hAnsi="宋体" w:eastAsia="仿宋_GB2312" w:cs="仿宋"/>
          <w:sz w:val="32"/>
          <w:szCs w:val="32"/>
        </w:rPr>
      </w:pPr>
      <w:r>
        <w:rPr>
          <w:rFonts w:hint="eastAsia" w:ascii="仿宋_GB2312" w:hAnsi="宋体"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0"/>
          <w:szCs w:val="30"/>
        </w:rPr>
      </w:pPr>
      <w:r>
        <w:rPr>
          <w:rFonts w:hint="eastAsia" w:ascii="仿宋_GB2312" w:hAnsi="宋体" w:eastAsia="宋体" w:cs="仿宋"/>
          <w:sz w:val="32"/>
          <w:szCs w:val="32"/>
        </w:rPr>
        <w:t>在上述材料無法充分證明交易真實性時，銀行要求的其他交易單證。</w:t>
      </w:r>
    </w:p>
    <w:p>
      <w:pPr>
        <w:pStyle w:val="3"/>
        <w:adjustRightInd w:val="0"/>
        <w:snapToGrid w:val="0"/>
        <w:spacing w:before="0" w:after="0" w:line="560" w:lineRule="exact"/>
        <w:ind w:firstLine="640" w:firstLineChars="200"/>
        <w:rPr>
          <w:rFonts w:ascii="黑体" w:hAnsi="黑体" w:cs="仿宋"/>
          <w:b w:val="0"/>
        </w:rPr>
      </w:pPr>
      <w:bookmarkStart w:id="80" w:name="_Toc506194424"/>
      <w:bookmarkStart w:id="81" w:name="_Toc65325600"/>
      <w:r>
        <w:rPr>
          <w:rFonts w:hint="eastAsia" w:ascii="黑体" w:hAnsi="黑体" w:eastAsia="宋体" w:cs="仿宋"/>
          <w:b w:val="0"/>
        </w:rPr>
        <w:t>三、境外直接投資收益匯入</w:t>
      </w:r>
      <w:bookmarkEnd w:id="80"/>
      <w:bookmarkEnd w:id="81"/>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境外直接投資收益匯入是指經境外直接投資主管部門核准/備案設立的境外直接投資主體在境外獲得的利潤、股息和紅利等收益的匯入業務。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2.政策依據</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w:t>
      </w:r>
      <w:r>
        <w:rPr>
          <w:rFonts w:hint="eastAsia" w:ascii="仿宋_GB2312" w:hAnsi="仿宋" w:eastAsia="宋体" w:cs="仿宋"/>
          <w:sz w:val="32"/>
          <w:szCs w:val="32"/>
          <w:lang w:eastAsia="zh-CN"/>
        </w:rPr>
        <w:t>中國人民銀行、財政部、商務部、海關總署、國家稅務總局、銀監會關於擴大跨境貿易人民幣結算試點有關問題的通知</w:t>
      </w:r>
      <w:r>
        <w:rPr>
          <w:rFonts w:hint="eastAsia" w:ascii="仿宋_GB2312" w:hAnsi="仿宋" w:eastAsia="宋体" w:cs="仿宋"/>
          <w:sz w:val="32"/>
          <w:szCs w:val="32"/>
        </w:rPr>
        <w:t>》（銀髮</w:t>
      </w:r>
      <w:r>
        <w:rPr>
          <w:rFonts w:hint="eastAsia" w:ascii="仿宋_GB2312" w:hAnsi="仿宋" w:eastAsia="宋体"/>
          <w:sz w:val="32"/>
          <w:szCs w:val="32"/>
        </w:rPr>
        <w:t>〔</w:t>
      </w:r>
      <w:r>
        <w:rPr>
          <w:rFonts w:hint="eastAsia" w:ascii="仿宋_GB2312" w:hAnsi="仿宋" w:eastAsia="宋体" w:cs="仿宋"/>
          <w:sz w:val="32"/>
          <w:szCs w:val="32"/>
        </w:rPr>
        <w:t>2010</w:t>
      </w:r>
      <w:r>
        <w:rPr>
          <w:rFonts w:hint="eastAsia" w:ascii="仿宋_GB2312" w:hAnsi="仿宋" w:eastAsia="宋体"/>
          <w:sz w:val="32"/>
          <w:szCs w:val="32"/>
        </w:rPr>
        <w:t>〕</w:t>
      </w:r>
      <w:r>
        <w:rPr>
          <w:rFonts w:hint="eastAsia" w:ascii="仿宋_GB2312" w:hAnsi="仿宋" w:eastAsia="宋体" w:cs="仿宋"/>
          <w:sz w:val="32"/>
          <w:szCs w:val="32"/>
        </w:rPr>
        <w:t>186號）；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（2）《境外直接投資人民幣結算試點管理辦法》（中國人民銀行公告</w:t>
      </w:r>
      <w:r>
        <w:rPr>
          <w:rFonts w:hint="eastAsia" w:ascii="仿宋_GB2312" w:hAnsi="仿宋" w:eastAsia="宋体"/>
          <w:sz w:val="32"/>
          <w:szCs w:val="32"/>
        </w:rPr>
        <w:t>〔</w:t>
      </w:r>
      <w:r>
        <w:rPr>
          <w:rFonts w:hint="eastAsia" w:ascii="仿宋_GB2312" w:hAnsi="仿宋" w:eastAsia="宋体" w:cs="仿宋"/>
          <w:sz w:val="32"/>
          <w:szCs w:val="32"/>
        </w:rPr>
        <w:t>2011</w:t>
      </w:r>
      <w:r>
        <w:rPr>
          <w:rFonts w:hint="eastAsia" w:ascii="仿宋_GB2312" w:hAnsi="仿宋" w:eastAsia="宋体"/>
          <w:sz w:val="32"/>
          <w:szCs w:val="32"/>
        </w:rPr>
        <w:t>〕</w:t>
      </w:r>
      <w:r>
        <w:rPr>
          <w:rFonts w:hint="eastAsia" w:ascii="仿宋_GB2312" w:hAnsi="仿宋" w:eastAsia="宋体" w:cs="仿宋"/>
          <w:sz w:val="32"/>
          <w:szCs w:val="32"/>
        </w:rPr>
        <w:t>第1號）；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（3）《中國人民銀行關於簡化跨境人民幣業務流程和完善有關政策的通知》（銀髮</w:t>
      </w:r>
      <w:r>
        <w:rPr>
          <w:rFonts w:hint="eastAsia" w:ascii="仿宋_GB2312" w:hAnsi="仿宋" w:eastAsia="宋体"/>
          <w:sz w:val="32"/>
          <w:szCs w:val="32"/>
        </w:rPr>
        <w:t>〔</w:t>
      </w:r>
      <w:r>
        <w:rPr>
          <w:rFonts w:hint="eastAsia" w:ascii="仿宋_GB2312" w:hAnsi="仿宋" w:eastAsia="宋体" w:cs="仿宋"/>
          <w:sz w:val="32"/>
          <w:szCs w:val="32"/>
        </w:rPr>
        <w:t>2013</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（4）《中國人民銀行關於貫徹落實&lt;國務院辦公廳關於支持外貿穩定增長的若干意見&gt;的指導意見》（銀髮</w:t>
      </w:r>
      <w:r>
        <w:rPr>
          <w:rFonts w:hint="eastAsia" w:ascii="仿宋_GB2312" w:hAnsi="仿宋" w:eastAsia="宋体"/>
          <w:sz w:val="32"/>
          <w:szCs w:val="32"/>
        </w:rPr>
        <w:t>〔</w:t>
      </w:r>
      <w:r>
        <w:rPr>
          <w:rFonts w:hint="eastAsia" w:ascii="仿宋_GB2312" w:hAnsi="仿宋" w:eastAsia="宋体" w:cs="仿宋"/>
          <w:sz w:val="32"/>
          <w:szCs w:val="32"/>
        </w:rPr>
        <w:t>2014</w:t>
      </w:r>
      <w:r>
        <w:rPr>
          <w:rFonts w:hint="eastAsia" w:ascii="仿宋_GB2312" w:hAnsi="仿宋" w:eastAsia="宋体"/>
          <w:sz w:val="32"/>
          <w:szCs w:val="32"/>
        </w:rPr>
        <w:t>〕</w:t>
      </w:r>
      <w:r>
        <w:rPr>
          <w:rFonts w:hint="eastAsia" w:ascii="仿宋_GB2312" w:hAnsi="仿宋" w:eastAsia="宋体" w:cs="仿宋"/>
          <w:sz w:val="32"/>
          <w:szCs w:val="32"/>
        </w:rPr>
        <w:t>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cs="仿宋"/>
          <w:sz w:val="32"/>
          <w:szCs w:val="32"/>
        </w:rPr>
        <w:t>（5）</w:t>
      </w:r>
      <w:r>
        <w:rPr>
          <w:rFonts w:hint="eastAsia" w:ascii="仿宋_GB2312" w:hAnsi="仿宋" w:eastAsia="宋体"/>
          <w:sz w:val="32"/>
          <w:szCs w:val="32"/>
        </w:rPr>
        <w:t>《</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（6）《</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3.客戶准入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業務經營範圍符合國家有關規定，具備相應的業務資格或資質，基礎交易符合業務經營範圍。</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（1）可信客戶</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①跨境人民幣結算收款說明，可使用企業提交的紙質形式或電子形式的收付款指令代替，企業提交的收付款指令應滿足國際收支申報和跨境人民幣業務資訊報送要求；</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②與本次匯入相關的董事會利潤分配決議；</w:t>
      </w:r>
    </w:p>
    <w:p>
      <w:pPr>
        <w:tabs>
          <w:tab w:val="left" w:pos="5830"/>
        </w:tabs>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③境外機構相關年度的財務報表。</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（2）關注客戶，應按照以下更高標準增加提供相關證明材料：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①境外機構經審計的財務報表。</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②利潤匯回。審核企業境外投資業務原登記情況，與利潤匯回的實際境外付款人名稱、註冊地進行比對，核實與登記投資的境外機構名稱是否一致，查詢企業境外直接投資中方權益情況，核實境外投資企業盈利情況，判斷該筆收入是否正常。</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③利息匯回。審核企業境外放款業務原登記情況，核實該筆境外放款業務的真實性，並根據利率情況計算應收利息，判斷該筆收入是否正常。</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④</w:t>
      </w:r>
      <w:r>
        <w:rPr>
          <w:rFonts w:hint="eastAsia" w:ascii="仿宋_GB2312" w:hAnsi="仿宋" w:eastAsia="宋体" w:cs="仿宋"/>
          <w:sz w:val="32"/>
          <w:szCs w:val="32"/>
          <w:lang w:eastAsia="zh-CN"/>
        </w:rPr>
        <w:t>應</w:t>
      </w:r>
      <w:r>
        <w:rPr>
          <w:rFonts w:hint="eastAsia" w:ascii="仿宋_GB2312" w:hAnsi="仿宋" w:eastAsia="宋体" w:cs="仿宋"/>
          <w:sz w:val="32"/>
          <w:szCs w:val="32"/>
        </w:rPr>
        <w:t>要求客戶提供境外納稅證明。</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⑤其他能夠證明投資收益收入真實性的材料，包括但不限於企業經營範圍、業務規模和交易背景等。</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5.審核及操作要點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（1）審核境內投資主體是否已辦理境外直接投資登記手續。</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（2）審核境外直接投資所得利潤是否與境外企業的財務狀況相符。</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（3）銀行在辦理境外投資企業利潤匯回時，</w:t>
      </w:r>
      <w:r>
        <w:rPr>
          <w:rFonts w:hint="eastAsia" w:ascii="仿宋_GB2312" w:hAnsi="仿宋" w:eastAsia="宋体" w:cs="仿宋"/>
          <w:sz w:val="32"/>
          <w:szCs w:val="32"/>
          <w:lang w:eastAsia="zh-CN"/>
        </w:rPr>
        <w:t>應</w:t>
      </w:r>
      <w:r>
        <w:rPr>
          <w:rFonts w:hint="eastAsia" w:ascii="仿宋_GB2312" w:hAnsi="仿宋" w:eastAsia="宋体" w:cs="仿宋"/>
          <w:sz w:val="32"/>
          <w:szCs w:val="32"/>
        </w:rPr>
        <w:t>審核境外投資企業的境內投資主體境外直接投資存量權益登記情況，對於應辦理境外直接投資存量權益登記但未在規定時限內辦理登記的相關</w:t>
      </w:r>
      <w:r>
        <w:rPr>
          <w:rFonts w:hint="eastAsia" w:ascii="仿宋_GB2312" w:hAnsi="仿宋" w:eastAsia="宋体" w:cs="仿宋"/>
          <w:sz w:val="32"/>
          <w:szCs w:val="32"/>
          <w:lang w:eastAsia="zh-CN"/>
        </w:rPr>
        <w:t>市場主體</w:t>
      </w:r>
      <w:r>
        <w:rPr>
          <w:rFonts w:hint="eastAsia" w:ascii="仿宋_GB2312" w:hAnsi="仿宋" w:eastAsia="宋体" w:cs="仿宋"/>
          <w:sz w:val="32"/>
          <w:szCs w:val="32"/>
        </w:rPr>
        <w:t>，</w:t>
      </w:r>
      <w:r>
        <w:rPr>
          <w:rFonts w:hint="eastAsia" w:ascii="仿宋_GB2312" w:hAnsi="仿宋" w:eastAsia="宋体" w:cs="仿宋"/>
          <w:sz w:val="32"/>
          <w:szCs w:val="32"/>
          <w:lang w:eastAsia="zh-CN"/>
        </w:rPr>
        <w:t>應待其辦理境外直接投資存量權益登記後，方可為其</w:t>
      </w:r>
      <w:r>
        <w:rPr>
          <w:rFonts w:hint="eastAsia" w:ascii="仿宋_GB2312" w:hAnsi="仿宋" w:eastAsia="宋体" w:cs="仿宋"/>
          <w:sz w:val="32"/>
          <w:szCs w:val="32"/>
        </w:rPr>
        <w:t>辦理利潤匯回業務。</w:t>
      </w:r>
    </w:p>
    <w:p>
      <w:pPr>
        <w:pStyle w:val="3"/>
        <w:adjustRightInd w:val="0"/>
        <w:snapToGrid w:val="0"/>
        <w:spacing w:before="0" w:after="0" w:line="560" w:lineRule="exact"/>
        <w:ind w:firstLine="640" w:firstLineChars="200"/>
        <w:rPr>
          <w:rFonts w:ascii="黑体" w:hAnsi="黑体" w:cs="仿宋"/>
          <w:b w:val="0"/>
        </w:rPr>
      </w:pPr>
      <w:bookmarkStart w:id="82" w:name="_Toc454780857"/>
      <w:bookmarkStart w:id="83" w:name="_Toc65325601"/>
      <w:r>
        <w:rPr>
          <w:rFonts w:hint="eastAsia" w:ascii="黑体" w:hAnsi="黑体" w:eastAsia="宋体" w:cs="仿宋"/>
          <w:b w:val="0"/>
        </w:rPr>
        <w:t>四、捐贈和無償援助</w:t>
      </w:r>
      <w:bookmarkEnd w:id="82"/>
      <w:r>
        <w:rPr>
          <w:rFonts w:hint="eastAsia" w:ascii="黑体" w:hAnsi="黑体" w:eastAsia="宋体" w:cs="仿宋"/>
          <w:b w:val="0"/>
        </w:rPr>
        <w:t>匯入</w:t>
      </w:r>
      <w:bookmarkEnd w:id="83"/>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1.業務定義</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捐贈和無償援助匯入是指境內機構接受境外機構或境外個人的無償贈與資金以及無償援助資金的行為（以下簡稱“捐贈”）。</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2.審核材料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 xml:space="preserve">（1）境內企業接受境外非營利性機構捐贈: </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①</w:t>
      </w:r>
      <w:r>
        <w:rPr>
          <w:rFonts w:hint="eastAsia" w:ascii="仿宋_GB2312" w:hAnsi="仿宋" w:eastAsia="宋体" w:cs="仿宋"/>
          <w:sz w:val="32"/>
          <w:szCs w:val="32"/>
        </w:rPr>
        <w:t>跨境人民幣結算收款說明，可使用企業提交的紙質形式或電子形式的收付款指令代替，企業提交的收付款指令應滿足國際收支申報和跨境人民幣業務資訊報送要求；申請書；</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②</w:t>
      </w:r>
      <w:r>
        <w:rPr>
          <w:rFonts w:hint="eastAsia" w:ascii="仿宋_GB2312" w:hAnsi="仿宋" w:eastAsia="宋体" w:cs="仿宋"/>
          <w:sz w:val="32"/>
          <w:szCs w:val="32"/>
        </w:rPr>
        <w:t>企業營業執照；</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③</w:t>
      </w:r>
      <w:r>
        <w:rPr>
          <w:rFonts w:hint="eastAsia" w:ascii="仿宋_GB2312" w:hAnsi="仿宋" w:eastAsia="宋体" w:cs="仿宋"/>
          <w:sz w:val="32"/>
          <w:szCs w:val="32"/>
        </w:rPr>
        <w:t>境外非營利性機構在境外依法登記成立的證明檔（附中文譯本）；</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④</w:t>
      </w:r>
      <w:r>
        <w:rPr>
          <w:rFonts w:hint="eastAsia" w:ascii="仿宋_GB2312" w:hAnsi="仿宋" w:eastAsia="宋体" w:cs="仿宋"/>
          <w:sz w:val="32"/>
          <w:szCs w:val="32"/>
        </w:rPr>
        <w:t>列明資金用途的捐贈協議；</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⑤</w:t>
      </w:r>
      <w:r>
        <w:rPr>
          <w:rFonts w:hint="eastAsia" w:ascii="仿宋_GB2312" w:hAnsi="仿宋" w:eastAsia="宋体" w:cs="仿宋"/>
          <w:sz w:val="32"/>
          <w:szCs w:val="32"/>
        </w:rPr>
        <w:t>按照國家相關規定如需辦理審批備案等手續的，需提供已辦妥上述手續的相關證明檔；</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⑥</w:t>
      </w:r>
      <w:r>
        <w:rPr>
          <w:rFonts w:hint="eastAsia" w:ascii="仿宋_GB2312" w:hAnsi="仿宋" w:eastAsia="宋体" w:cs="仿宋"/>
          <w:sz w:val="32"/>
          <w:szCs w:val="32"/>
        </w:rPr>
        <w:t>在上述材料無法充分證明交易真實性時，要求提供的其他材料。</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（2）境內企業接受境外營利性機構或境外個人捐贈，按照跨境投資、對外債權債務有關規定辦理。</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（3）縣級以上（含）國家機關或其他有權機關接受境外捐贈：跨境人民幣結算收款說明、申請書。</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（4）境外非政府組織境內代表機構接受總部捐贈的專案資金：</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①</w:t>
      </w:r>
      <w:r>
        <w:rPr>
          <w:rFonts w:hint="eastAsia" w:ascii="仿宋_GB2312" w:hAnsi="仿宋" w:eastAsia="宋体" w:cs="仿宋"/>
          <w:sz w:val="32"/>
          <w:szCs w:val="32"/>
        </w:rPr>
        <w:t>跨境人民幣結算收款說明、申請書；</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②</w:t>
      </w:r>
      <w:r>
        <w:rPr>
          <w:rFonts w:hint="eastAsia" w:ascii="仿宋_GB2312" w:hAnsi="仿宋" w:eastAsia="宋体" w:cs="仿宋"/>
          <w:sz w:val="32"/>
          <w:szCs w:val="32"/>
        </w:rPr>
        <w:t>境外非政府組織總部與境內受贈方之間的捐贈協議。</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（5）其他境內機構接受境外捐贈：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①</w:t>
      </w:r>
      <w:r>
        <w:rPr>
          <w:rFonts w:hint="eastAsia" w:ascii="仿宋_GB2312" w:hAnsi="仿宋" w:eastAsia="宋体" w:cs="仿宋"/>
          <w:sz w:val="32"/>
          <w:szCs w:val="32"/>
        </w:rPr>
        <w:t>跨境人民幣結算收款說明、申請書（境內機構在申請書中須如實承諾該捐贈行為不違反國家相關禁止性規定，並承擔由此產生的法律責任）；</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②</w:t>
      </w:r>
      <w:r>
        <w:rPr>
          <w:rFonts w:hint="eastAsia" w:ascii="仿宋_GB2312" w:hAnsi="仿宋" w:eastAsia="宋体" w:cs="仿宋"/>
          <w:sz w:val="32"/>
          <w:szCs w:val="32"/>
        </w:rPr>
        <w:t>有關管理部門頒發的境內機構依法登記成立的證明檔；</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③</w:t>
      </w:r>
      <w:r>
        <w:rPr>
          <w:rFonts w:hint="eastAsia" w:ascii="仿宋_GB2312" w:hAnsi="仿宋" w:eastAsia="宋体" w:cs="仿宋"/>
          <w:sz w:val="32"/>
          <w:szCs w:val="32"/>
        </w:rPr>
        <w:t>境外機構在境外依法登記成立的證明檔（附中文譯本）；</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④</w:t>
      </w:r>
      <w:r>
        <w:rPr>
          <w:rFonts w:hint="eastAsia" w:ascii="仿宋_GB2312" w:hAnsi="仿宋" w:eastAsia="宋体" w:cs="仿宋"/>
          <w:sz w:val="32"/>
          <w:szCs w:val="32"/>
        </w:rPr>
        <w:t>列明用途的捐贈協議；</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⑤</w:t>
      </w:r>
      <w:r>
        <w:rPr>
          <w:rFonts w:hint="eastAsia" w:ascii="仿宋_GB2312" w:hAnsi="仿宋" w:eastAsia="宋体" w:cs="仿宋"/>
          <w:sz w:val="32"/>
          <w:szCs w:val="32"/>
        </w:rPr>
        <w:t>按照國家相關規定如需辦理審批備案等手續的，需提供已辦妥上述手續的相關證明檔；</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微软雅黑" w:eastAsia="宋体" w:cs="仿宋"/>
          <w:sz w:val="32"/>
          <w:szCs w:val="32"/>
        </w:rPr>
        <w:t>⑥</w:t>
      </w:r>
      <w:r>
        <w:rPr>
          <w:rFonts w:hint="eastAsia" w:ascii="仿宋_GB2312" w:hAnsi="仿宋" w:eastAsia="宋体" w:cs="仿宋"/>
          <w:sz w:val="32"/>
          <w:szCs w:val="32"/>
        </w:rPr>
        <w:t>在上述材料無法充分證明交易真實性時，要求提供的其他材料。</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3.風險提示</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境內機構接受境外捐贈必須遵守我國法律法規及其他相關管理規定，不得違背社會公德，不得損害公共利益和其他公民的合法權益。</w:t>
      </w:r>
    </w:p>
    <w:p>
      <w:pPr>
        <w:adjustRightInd w:val="0"/>
        <w:snapToGrid w:val="0"/>
        <w:spacing w:line="560" w:lineRule="exact"/>
        <w:ind w:firstLine="643" w:firstLineChars="200"/>
        <w:rPr>
          <w:rFonts w:ascii="仿宋_GB2312" w:hAnsi="仿宋" w:eastAsia="仿宋_GB2312" w:cs="仿宋"/>
          <w:b/>
          <w:bCs/>
          <w:sz w:val="32"/>
          <w:szCs w:val="32"/>
        </w:rPr>
      </w:pPr>
      <w:r>
        <w:rPr>
          <w:rFonts w:hint="eastAsia" w:ascii="仿宋_GB2312" w:hAnsi="仿宋" w:eastAsia="宋体" w:cs="仿宋"/>
          <w:b/>
          <w:bCs/>
          <w:sz w:val="32"/>
          <w:szCs w:val="32"/>
        </w:rPr>
        <w:t>4.審核及操作要點</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（1）境內機構應開立人民幣專用存款帳戶，用於辦理捐贈項下人民幣跨境收入；</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（2）境外非政府組織境內代表機構所獲捐贈資金的支出範圍：符合捐贈協議的境內合法支出；</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宋体" w:cs="仿宋"/>
          <w:sz w:val="32"/>
          <w:szCs w:val="32"/>
        </w:rPr>
        <w:t>（3）全國性宗教團體一次性接受100萬元人民幣以上（含）的捐贈收入，還應提交國家宗教事務局批准接受該筆捐贈的證明檔；寺院、宮觀、清真寺、教堂等宗教活動場所和地方宗教團體一次性接受100萬元人民幣以上（含）的捐贈收入，還須提交所在地省級人民政府批准接受該筆捐贈的證明檔。</w:t>
      </w:r>
    </w:p>
    <w:p>
      <w:pPr>
        <w:adjustRightInd w:val="0"/>
        <w:snapToGrid w:val="0"/>
        <w:spacing w:line="560" w:lineRule="exact"/>
        <w:ind w:firstLine="640" w:firstLineChars="200"/>
        <w:rPr>
          <w:rFonts w:ascii="仿宋" w:hAnsi="仿宋" w:eastAsia="仿宋" w:cs="仿宋"/>
          <w:sz w:val="30"/>
          <w:szCs w:val="30"/>
        </w:rPr>
      </w:pPr>
      <w:r>
        <w:rPr>
          <w:rFonts w:hint="eastAsia" w:ascii="仿宋_GB2312" w:hAnsi="仿宋" w:eastAsia="宋体" w:cs="仿宋"/>
          <w:sz w:val="32"/>
          <w:szCs w:val="32"/>
        </w:rPr>
        <w:t>（4）關注捐贈和無償援助資金的境內流向。</w:t>
      </w:r>
      <w:r>
        <w:rPr>
          <w:rFonts w:ascii="仿宋" w:hAnsi="仿宋" w:eastAsia="仿宋" w:cs="仿宋"/>
          <w:sz w:val="30"/>
          <w:szCs w:val="30"/>
        </w:rPr>
        <w:br w:type="page"/>
      </w:r>
    </w:p>
    <w:p>
      <w:pPr>
        <w:pStyle w:val="2"/>
        <w:spacing w:line="560" w:lineRule="exact"/>
        <w:ind w:firstLine="0" w:firstLineChars="0"/>
        <w:rPr>
          <w:sz w:val="44"/>
          <w:szCs w:val="40"/>
        </w:rPr>
      </w:pPr>
      <w:bookmarkStart w:id="84" w:name="_Toc65325602"/>
      <w:bookmarkStart w:id="85" w:name="_Toc38028368"/>
      <w:r>
        <w:rPr>
          <w:rFonts w:hint="eastAsia" w:eastAsia="宋体"/>
          <w:sz w:val="44"/>
          <w:szCs w:val="40"/>
        </w:rPr>
        <w:t>第四</w:t>
      </w:r>
      <w:r>
        <w:rPr>
          <w:rFonts w:eastAsia="宋体"/>
          <w:sz w:val="44"/>
          <w:szCs w:val="40"/>
        </w:rPr>
        <w:t>部分</w:t>
      </w:r>
      <w:r>
        <w:rPr>
          <w:rFonts w:hint="eastAsia" w:eastAsia="宋体"/>
          <w:sz w:val="44"/>
          <w:szCs w:val="40"/>
        </w:rPr>
        <w:t xml:space="preserve"> 個人服務</w:t>
      </w:r>
      <w:r>
        <w:rPr>
          <w:rFonts w:eastAsia="宋体"/>
          <w:sz w:val="44"/>
          <w:szCs w:val="40"/>
        </w:rPr>
        <w:t>貿易</w:t>
      </w:r>
      <w:r>
        <w:rPr>
          <w:rFonts w:hint="eastAsia" w:eastAsia="宋体"/>
          <w:sz w:val="44"/>
          <w:szCs w:val="40"/>
        </w:rPr>
        <w:t>及</w:t>
      </w:r>
      <w:r>
        <w:rPr>
          <w:rFonts w:eastAsia="宋体"/>
          <w:sz w:val="44"/>
          <w:szCs w:val="40"/>
        </w:rPr>
        <w:t>其他經常專案跨境人民幣結算具體審核規範</w:t>
      </w:r>
      <w:bookmarkEnd w:id="84"/>
      <w:bookmarkEnd w:id="85"/>
    </w:p>
    <w:p>
      <w:pPr>
        <w:rPr>
          <w:sz w:val="32"/>
          <w:szCs w:val="32"/>
          <w:lang w:val="zh-CN"/>
        </w:rPr>
      </w:pPr>
    </w:p>
    <w:p>
      <w:pPr>
        <w:pStyle w:val="3"/>
        <w:adjustRightInd w:val="0"/>
        <w:snapToGrid w:val="0"/>
        <w:spacing w:before="0" w:after="0" w:line="560" w:lineRule="exact"/>
        <w:ind w:firstLine="640" w:firstLineChars="200"/>
        <w:rPr>
          <w:rFonts w:ascii="黑体" w:hAnsi="黑体"/>
          <w:b w:val="0"/>
        </w:rPr>
      </w:pPr>
      <w:bookmarkStart w:id="86" w:name="_Toc65325603"/>
      <w:r>
        <w:rPr>
          <w:rFonts w:hint="eastAsia" w:ascii="黑体" w:hAnsi="黑体" w:eastAsia="宋体"/>
          <w:b w:val="0"/>
        </w:rPr>
        <w:t>一、業務定義</w:t>
      </w:r>
      <w:bookmarkEnd w:id="86"/>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bCs/>
          <w:sz w:val="32"/>
          <w:szCs w:val="32"/>
        </w:rPr>
        <w:t>個人</w:t>
      </w:r>
      <w:r>
        <w:rPr>
          <w:rFonts w:hint="eastAsia" w:ascii="仿宋_GB2312" w:hAnsi="仿宋" w:eastAsia="宋体"/>
          <w:sz w:val="32"/>
          <w:szCs w:val="32"/>
        </w:rPr>
        <w:t>在辦理服務貿易和其他經常專案業務時採用人民幣結算。</w:t>
      </w:r>
    </w:p>
    <w:p>
      <w:pPr>
        <w:pStyle w:val="3"/>
        <w:adjustRightInd w:val="0"/>
        <w:snapToGrid w:val="0"/>
        <w:spacing w:before="0" w:after="0" w:line="560" w:lineRule="exact"/>
        <w:ind w:firstLine="640" w:firstLineChars="200"/>
        <w:rPr>
          <w:rFonts w:ascii="黑体" w:hAnsi="黑体"/>
          <w:b w:val="0"/>
        </w:rPr>
      </w:pPr>
      <w:bookmarkStart w:id="87" w:name="_Toc65325604"/>
      <w:r>
        <w:rPr>
          <w:rFonts w:hint="eastAsia" w:ascii="黑体" w:hAnsi="黑体" w:eastAsia="宋体"/>
          <w:b w:val="0"/>
        </w:rPr>
        <w:t>二、政策依據</w:t>
      </w:r>
      <w:bookmarkEnd w:id="87"/>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1.《關於貫徹落實&lt;國務院辦公廳關於支持外貿穩定增長的若干意見&gt;的指導意見》（銀髮〔2014〕168號）；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2.《</w:t>
      </w:r>
      <w:r>
        <w:rPr>
          <w:rFonts w:hint="eastAsia" w:ascii="仿宋_GB2312" w:hAnsi="仿宋" w:eastAsia="宋体"/>
          <w:sz w:val="32"/>
          <w:szCs w:val="32"/>
          <w:lang w:eastAsia="zh-CN"/>
        </w:rPr>
        <w:t>中國人民銀行關於進一步完善人民幣跨境業務政策促進貿易投資便利化的通知</w:t>
      </w:r>
      <w:r>
        <w:rPr>
          <w:rFonts w:hint="eastAsia" w:ascii="仿宋_GB2312" w:hAnsi="仿宋" w:eastAsia="宋体"/>
          <w:sz w:val="32"/>
          <w:szCs w:val="32"/>
        </w:rPr>
        <w:t>》（銀髮〔2018〕3號）；</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3.《</w:t>
      </w:r>
      <w:r>
        <w:rPr>
          <w:rFonts w:hint="eastAsia" w:ascii="仿宋_GB2312" w:hAnsi="仿宋" w:eastAsia="宋体"/>
          <w:sz w:val="32"/>
          <w:szCs w:val="32"/>
          <w:lang w:eastAsia="zh-CN"/>
        </w:rPr>
        <w:t>中國人民銀行 國家發展和改革委員會 商務部 國務院國有資產監督管理委員會 中國銀行保險監督管理委員會 國家外匯管理局關於進一步優化跨境人民幣政策支持穩外貿穩外資的通知</w:t>
      </w:r>
      <w:r>
        <w:rPr>
          <w:rFonts w:hint="eastAsia" w:ascii="仿宋_GB2312" w:hAnsi="仿宋" w:eastAsia="宋体"/>
          <w:sz w:val="32"/>
          <w:szCs w:val="32"/>
        </w:rPr>
        <w:t>》（銀髮〔2020〕330號）。</w:t>
      </w:r>
    </w:p>
    <w:p>
      <w:pPr>
        <w:pStyle w:val="3"/>
        <w:adjustRightInd w:val="0"/>
        <w:snapToGrid w:val="0"/>
        <w:spacing w:before="0" w:after="0" w:line="560" w:lineRule="exact"/>
        <w:ind w:firstLine="640" w:firstLineChars="200"/>
        <w:rPr>
          <w:rFonts w:ascii="黑体" w:hAnsi="黑体"/>
          <w:b w:val="0"/>
        </w:rPr>
      </w:pPr>
      <w:bookmarkStart w:id="88" w:name="_Toc65325605"/>
      <w:r>
        <w:rPr>
          <w:rFonts w:hint="eastAsia" w:ascii="黑体" w:hAnsi="黑体" w:eastAsia="宋体"/>
          <w:b w:val="0"/>
        </w:rPr>
        <w:t>三、客戶</w:t>
      </w:r>
      <w:r>
        <w:rPr>
          <w:rFonts w:ascii="黑体" w:hAnsi="黑体" w:eastAsia="宋体"/>
          <w:b w:val="0"/>
        </w:rPr>
        <w:t>准入</w:t>
      </w:r>
      <w:bookmarkEnd w:id="88"/>
    </w:p>
    <w:p>
      <w:pPr>
        <w:adjustRightInd w:val="0"/>
        <w:snapToGrid w:val="0"/>
        <w:spacing w:line="560" w:lineRule="exact"/>
        <w:ind w:firstLine="643" w:firstLineChars="200"/>
        <w:rPr>
          <w:rFonts w:ascii="仿宋_GB2312" w:hAnsi="仿宋" w:eastAsia="仿宋_GB2312"/>
          <w:b/>
          <w:bCs/>
          <w:sz w:val="32"/>
          <w:szCs w:val="32"/>
        </w:rPr>
      </w:pPr>
      <w:r>
        <w:rPr>
          <w:rFonts w:hint="eastAsia" w:ascii="仿宋_GB2312" w:hAnsi="仿宋" w:eastAsia="宋体"/>
          <w:b/>
          <w:bCs/>
          <w:sz w:val="32"/>
          <w:szCs w:val="32"/>
        </w:rPr>
        <w:t>具有服務貿易和其他經常專案實際結算需求的個人。</w:t>
      </w:r>
    </w:p>
    <w:p>
      <w:pPr>
        <w:pStyle w:val="3"/>
        <w:adjustRightInd w:val="0"/>
        <w:snapToGrid w:val="0"/>
        <w:spacing w:before="0" w:after="0" w:line="560" w:lineRule="exact"/>
        <w:ind w:firstLine="640" w:firstLineChars="200"/>
        <w:rPr>
          <w:rFonts w:ascii="黑体" w:hAnsi="黑体"/>
          <w:b w:val="0"/>
        </w:rPr>
      </w:pPr>
      <w:bookmarkStart w:id="89" w:name="_Toc65325606"/>
      <w:r>
        <w:rPr>
          <w:rFonts w:hint="eastAsia" w:ascii="黑体" w:hAnsi="黑体" w:eastAsia="宋体"/>
          <w:b w:val="0"/>
        </w:rPr>
        <w:t>四、審核材料</w:t>
      </w:r>
      <w:bookmarkEnd w:id="89"/>
    </w:p>
    <w:p>
      <w:pPr>
        <w:adjustRightInd w:val="0"/>
        <w:snapToGrid w:val="0"/>
        <w:spacing w:line="560" w:lineRule="exact"/>
        <w:ind w:firstLine="640" w:firstLineChars="200"/>
        <w:rPr>
          <w:rFonts w:hint="eastAsia" w:ascii="仿宋_GB2312" w:hAnsi="仿宋" w:eastAsia="仿宋_GB2312" w:cs="Calibri"/>
          <w:color w:val="auto"/>
          <w:sz w:val="32"/>
          <w:szCs w:val="32"/>
        </w:rPr>
      </w:pPr>
      <w:r>
        <w:rPr>
          <w:rFonts w:hint="eastAsia" w:ascii="仿宋_GB2312" w:hAnsi="仿宋" w:eastAsia="宋体"/>
          <w:sz w:val="32"/>
          <w:szCs w:val="32"/>
        </w:rPr>
        <w:t>憑個人有效身份證件或工商營業執照、《</w:t>
      </w:r>
      <w:r>
        <w:rPr>
          <w:rFonts w:hint="eastAsia" w:ascii="仿宋_GB2312" w:hAnsi="仿宋" w:eastAsia="宋体" w:cs="仿宋"/>
          <w:sz w:val="32"/>
          <w:szCs w:val="32"/>
        </w:rPr>
        <w:t>跨境人民幣結算收/付款說明》</w:t>
      </w:r>
      <w:r>
        <w:rPr>
          <w:rFonts w:hint="eastAsia" w:ascii="仿宋_GB2312" w:hAnsi="仿宋" w:eastAsia="宋体"/>
          <w:sz w:val="32"/>
          <w:szCs w:val="32"/>
        </w:rPr>
        <w:t>辦理</w:t>
      </w:r>
      <w:r>
        <w:rPr>
          <w:rFonts w:hint="eastAsia" w:ascii="仿宋_GB2312" w:hAnsi="仿宋" w:eastAsia="宋体"/>
          <w:sz w:val="32"/>
          <w:szCs w:val="32"/>
          <w:lang w:eastAsia="zh-CN"/>
        </w:rPr>
        <w:t>；</w:t>
      </w:r>
      <w:r>
        <w:rPr>
          <w:rFonts w:hint="eastAsia" w:ascii="仿宋_GB2312" w:hAnsi="仿宋" w:eastAsia="宋体" w:cs="Calibri"/>
          <w:b w:val="0"/>
          <w:bCs w:val="0"/>
          <w:i w:val="0"/>
          <w:color w:val="auto"/>
          <w:kern w:val="2"/>
          <w:sz w:val="32"/>
          <w:szCs w:val="32"/>
          <w:u w:val="none"/>
          <w:lang w:val="en-US" w:eastAsia="zh-CN" w:bidi="ar"/>
        </w:rPr>
        <w:t>單筆金額40萬元人民幣（不含）以上匯出提供相關《備案表》編號和驗證碼（稅務部門規定無需辦理《備案表》的除外），銀行核驗稅務備案資訊後為客戶辦理支付。</w:t>
      </w:r>
    </w:p>
    <w:p>
      <w:pPr>
        <w:autoSpaceDE w:val="0"/>
        <w:autoSpaceDN w:val="0"/>
        <w:adjustRightInd w:val="0"/>
        <w:snapToGrid w:val="0"/>
        <w:spacing w:line="560" w:lineRule="exact"/>
        <w:ind w:firstLine="640" w:firstLineChars="200"/>
        <w:rPr>
          <w:rFonts w:ascii="仿宋_GB2312" w:hAnsi="仿宋" w:eastAsia="仿宋_GB2312"/>
          <w:sz w:val="32"/>
          <w:szCs w:val="32"/>
        </w:rPr>
      </w:pPr>
    </w:p>
    <w:p>
      <w:pPr>
        <w:autoSpaceDE w:val="0"/>
        <w:autoSpaceDN w:val="0"/>
        <w:adjustRightInd w:val="0"/>
        <w:snapToGrid w:val="0"/>
        <w:spacing w:line="560" w:lineRule="exact"/>
        <w:ind w:firstLine="640" w:firstLineChars="200"/>
        <w:rPr>
          <w:rFonts w:ascii="仿宋" w:hAnsi="仿宋" w:eastAsia="仿宋"/>
          <w:sz w:val="32"/>
          <w:szCs w:val="32"/>
        </w:rPr>
      </w:pPr>
      <w:r>
        <w:rPr>
          <w:rFonts w:hint="eastAsia" w:ascii="仿宋_GB2312" w:hAnsi="仿宋" w:eastAsia="宋体"/>
          <w:sz w:val="32"/>
          <w:szCs w:val="32"/>
        </w:rPr>
        <w:t>除上述材料外，還</w:t>
      </w:r>
      <w:r>
        <w:rPr>
          <w:rFonts w:hint="eastAsia" w:ascii="仿宋_GB2312" w:hAnsi="仿宋" w:eastAsia="宋体"/>
          <w:sz w:val="32"/>
          <w:szCs w:val="32"/>
          <w:lang w:eastAsia="zh-CN"/>
        </w:rPr>
        <w:t>應</w:t>
      </w:r>
      <w:r>
        <w:rPr>
          <w:rFonts w:hint="eastAsia" w:ascii="仿宋_GB2312" w:hAnsi="仿宋" w:eastAsia="宋体"/>
          <w:sz w:val="32"/>
          <w:szCs w:val="32"/>
        </w:rPr>
        <w:t>視情況要求增加提交以下一項或多項業務憑證：</w:t>
      </w:r>
    </w:p>
    <w:p>
      <w:pPr>
        <w:autoSpaceDE w:val="0"/>
        <w:autoSpaceDN w:val="0"/>
        <w:adjustRightInd w:val="0"/>
        <w:snapToGrid w:val="0"/>
        <w:spacing w:line="560" w:lineRule="exact"/>
        <w:ind w:firstLine="643" w:firstLineChars="200"/>
        <w:jc w:val="left"/>
        <w:rPr>
          <w:rFonts w:ascii="仿宋_GB2312" w:hAnsi="仿宋" w:eastAsia="仿宋_GB2312"/>
          <w:b/>
          <w:bCs/>
          <w:sz w:val="32"/>
          <w:szCs w:val="32"/>
        </w:rPr>
      </w:pPr>
      <w:r>
        <w:rPr>
          <w:rFonts w:hint="eastAsia" w:ascii="仿宋_GB2312" w:hAnsi="仿宋" w:eastAsia="宋体"/>
          <w:b/>
          <w:bCs/>
          <w:sz w:val="32"/>
          <w:szCs w:val="32"/>
        </w:rPr>
        <w:t>1.服務貿易項下：</w:t>
      </w:r>
    </w:p>
    <w:p>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宋体"/>
          <w:sz w:val="32"/>
          <w:szCs w:val="32"/>
        </w:rPr>
        <w:t>合同或協議；</w:t>
      </w:r>
    </w:p>
    <w:p>
      <w:pPr>
        <w:autoSpaceDE w:val="0"/>
        <w:autoSpaceDN w:val="0"/>
        <w:adjustRightInd w:val="0"/>
        <w:snapToGrid w:val="0"/>
        <w:spacing w:line="560" w:lineRule="exact"/>
        <w:ind w:firstLine="640" w:firstLineChars="200"/>
        <w:jc w:val="left"/>
        <w:rPr>
          <w:rFonts w:ascii="仿宋_GB2312" w:hAnsi="仿宋" w:eastAsia="仿宋_GB2312"/>
          <w:sz w:val="32"/>
          <w:szCs w:val="32"/>
        </w:rPr>
      </w:pPr>
      <w:r>
        <w:rPr>
          <w:rFonts w:hint="eastAsia" w:ascii="仿宋_GB2312" w:hAnsi="仿宋" w:eastAsia="宋体"/>
          <w:sz w:val="32"/>
          <w:szCs w:val="32"/>
        </w:rPr>
        <w:t>發票或支付通知。</w:t>
      </w:r>
    </w:p>
    <w:p>
      <w:pPr>
        <w:autoSpaceDE w:val="0"/>
        <w:autoSpaceDN w:val="0"/>
        <w:adjustRightInd w:val="0"/>
        <w:snapToGrid w:val="0"/>
        <w:spacing w:line="560" w:lineRule="exact"/>
        <w:ind w:firstLine="643" w:firstLineChars="200"/>
        <w:jc w:val="left"/>
        <w:rPr>
          <w:rFonts w:ascii="仿宋_GB2312" w:hAnsi="仿宋" w:eastAsia="仿宋_GB2312"/>
          <w:b/>
          <w:bCs/>
          <w:sz w:val="32"/>
          <w:szCs w:val="32"/>
        </w:rPr>
      </w:pPr>
      <w:r>
        <w:rPr>
          <w:rFonts w:hint="eastAsia" w:ascii="仿宋_GB2312" w:hAnsi="仿宋" w:eastAsia="宋体"/>
          <w:b/>
          <w:bCs/>
          <w:sz w:val="32"/>
          <w:szCs w:val="32"/>
        </w:rPr>
        <w:t>2.其他經常項下：</w:t>
      </w:r>
    </w:p>
    <w:p>
      <w:pPr>
        <w:autoSpaceDE w:val="0"/>
        <w:autoSpaceDN w:val="0"/>
        <w:adjustRightInd w:val="0"/>
        <w:snapToGrid w:val="0"/>
        <w:spacing w:line="560" w:lineRule="exact"/>
        <w:ind w:firstLine="643" w:firstLineChars="200"/>
        <w:jc w:val="left"/>
        <w:rPr>
          <w:rFonts w:ascii="仿宋_GB2312" w:hAnsi="仿宋" w:eastAsia="仿宋_GB2312"/>
          <w:sz w:val="32"/>
          <w:szCs w:val="32"/>
        </w:rPr>
      </w:pPr>
      <w:r>
        <w:rPr>
          <w:rFonts w:hint="eastAsia" w:ascii="仿宋_GB2312" w:hAnsi="仿宋" w:eastAsia="宋体"/>
          <w:b/>
          <w:bCs/>
          <w:sz w:val="32"/>
          <w:szCs w:val="32"/>
        </w:rPr>
        <w:t>職工報酬</w:t>
      </w:r>
      <w:r>
        <w:rPr>
          <w:rFonts w:hint="eastAsia" w:ascii="仿宋_GB2312" w:hAnsi="仿宋" w:eastAsia="宋体"/>
          <w:sz w:val="32"/>
          <w:szCs w:val="32"/>
        </w:rPr>
        <w:t>：雇傭合同</w:t>
      </w:r>
      <w:r>
        <w:rPr>
          <w:rFonts w:hint="eastAsia" w:ascii="仿宋_GB2312" w:hAnsi="仿宋" w:eastAsia="宋体"/>
          <w:sz w:val="32"/>
          <w:szCs w:val="32"/>
          <w:lang w:eastAsia="zh-CN"/>
        </w:rPr>
        <w:t>、完稅證明等相關</w:t>
      </w:r>
      <w:r>
        <w:rPr>
          <w:rFonts w:hint="eastAsia" w:ascii="仿宋_GB2312" w:hAnsi="仿宋" w:eastAsia="宋体"/>
          <w:sz w:val="32"/>
          <w:szCs w:val="32"/>
        </w:rPr>
        <w:t>收入證明。</w:t>
      </w:r>
    </w:p>
    <w:p>
      <w:pPr>
        <w:autoSpaceDE w:val="0"/>
        <w:autoSpaceDN w:val="0"/>
        <w:adjustRightInd w:val="0"/>
        <w:snapToGrid w:val="0"/>
        <w:spacing w:line="560" w:lineRule="exact"/>
        <w:ind w:firstLine="643" w:firstLineChars="200"/>
        <w:jc w:val="left"/>
        <w:rPr>
          <w:rFonts w:ascii="仿宋_GB2312" w:hAnsi="仿宋" w:eastAsia="仿宋_GB2312"/>
          <w:sz w:val="32"/>
          <w:szCs w:val="32"/>
        </w:rPr>
      </w:pPr>
      <w:r>
        <w:rPr>
          <w:rFonts w:hint="eastAsia" w:ascii="仿宋_GB2312" w:hAnsi="仿宋" w:eastAsia="宋体"/>
          <w:b/>
          <w:bCs/>
          <w:sz w:val="32"/>
          <w:szCs w:val="32"/>
        </w:rPr>
        <w:t>贍家款</w:t>
      </w:r>
      <w:r>
        <w:rPr>
          <w:rFonts w:hint="eastAsia" w:ascii="仿宋_GB2312" w:hAnsi="仿宋" w:eastAsia="宋体"/>
          <w:sz w:val="32"/>
          <w:szCs w:val="32"/>
        </w:rPr>
        <w:t>：</w:t>
      </w:r>
      <w:r>
        <w:rPr>
          <w:rFonts w:hint="eastAsia" w:ascii="仿宋_GB2312" w:hAnsi="仿宋" w:eastAsia="宋体"/>
          <w:sz w:val="32"/>
          <w:szCs w:val="32"/>
          <w:lang w:eastAsia="zh-CN"/>
        </w:rPr>
        <w:t>證</w:t>
      </w:r>
      <w:r>
        <w:rPr>
          <w:rFonts w:hint="eastAsia" w:ascii="仿宋_GB2312" w:hAnsi="仿宋" w:eastAsia="宋体"/>
          <w:sz w:val="32"/>
          <w:szCs w:val="32"/>
        </w:rPr>
        <w:t>明</w:t>
      </w:r>
      <w:r>
        <w:rPr>
          <w:rFonts w:hint="eastAsia" w:ascii="仿宋_GB2312" w:hAnsi="仿宋" w:eastAsia="宋体"/>
          <w:sz w:val="32"/>
          <w:szCs w:val="32"/>
          <w:lang w:eastAsia="zh-CN"/>
        </w:rPr>
        <w:t>近</w:t>
      </w:r>
      <w:r>
        <w:rPr>
          <w:rFonts w:hint="eastAsia" w:ascii="仿宋_GB2312" w:hAnsi="仿宋" w:eastAsia="宋体"/>
          <w:sz w:val="32"/>
          <w:szCs w:val="32"/>
        </w:rPr>
        <w:t>親屬關係的材料，必要時可要求客戶提供經公證的贍養關係證明或其他有關部門出具的證明、給付人的相關收入證明等。</w:t>
      </w:r>
    </w:p>
    <w:p>
      <w:pPr>
        <w:autoSpaceDE w:val="0"/>
        <w:autoSpaceDN w:val="0"/>
        <w:adjustRightInd w:val="0"/>
        <w:snapToGrid w:val="0"/>
        <w:spacing w:line="560" w:lineRule="exact"/>
        <w:ind w:firstLine="643" w:firstLineChars="200"/>
        <w:jc w:val="left"/>
        <w:rPr>
          <w:rFonts w:ascii="仿宋_GB2312" w:hAnsi="仿宋" w:eastAsia="仿宋_GB2312"/>
          <w:sz w:val="32"/>
          <w:szCs w:val="32"/>
        </w:rPr>
      </w:pPr>
      <w:r>
        <w:rPr>
          <w:rFonts w:hint="eastAsia" w:ascii="仿宋_GB2312" w:hAnsi="仿宋" w:eastAsia="宋体"/>
          <w:b/>
          <w:bCs/>
          <w:sz w:val="32"/>
          <w:szCs w:val="32"/>
        </w:rPr>
        <w:t>捐贈</w:t>
      </w:r>
      <w:r>
        <w:rPr>
          <w:rFonts w:hint="eastAsia" w:ascii="仿宋_GB2312" w:hAnsi="仿宋" w:eastAsia="宋体"/>
          <w:sz w:val="32"/>
          <w:szCs w:val="32"/>
        </w:rPr>
        <w:t>：列明資金用途的捐贈協議或合同，捐贈須符合國家規定；必要時可要求客戶提供捐贈人的身份證明、相關收入證明等。</w:t>
      </w:r>
    </w:p>
    <w:p>
      <w:pPr>
        <w:autoSpaceDE w:val="0"/>
        <w:autoSpaceDN w:val="0"/>
        <w:adjustRightInd w:val="0"/>
        <w:snapToGrid w:val="0"/>
        <w:spacing w:line="560" w:lineRule="exact"/>
        <w:ind w:firstLine="643" w:firstLineChars="200"/>
        <w:jc w:val="left"/>
        <w:rPr>
          <w:rFonts w:ascii="仿宋" w:hAnsi="仿宋" w:eastAsia="仿宋"/>
          <w:sz w:val="32"/>
          <w:szCs w:val="32"/>
        </w:rPr>
      </w:pPr>
      <w:r>
        <w:rPr>
          <w:rFonts w:hint="eastAsia" w:ascii="仿宋_GB2312" w:hAnsi="仿宋" w:eastAsia="宋体"/>
          <w:b/>
          <w:bCs/>
          <w:sz w:val="32"/>
          <w:szCs w:val="32"/>
        </w:rPr>
        <w:t>其他項下業務</w:t>
      </w:r>
      <w:r>
        <w:rPr>
          <w:rFonts w:hint="eastAsia" w:ascii="仿宋_GB2312" w:hAnsi="仿宋" w:eastAsia="宋体"/>
          <w:sz w:val="32"/>
          <w:szCs w:val="32"/>
        </w:rPr>
        <w:t>：可參照現有管理模式、業務流程進行真實性、合規性審核。</w:t>
      </w:r>
    </w:p>
    <w:p>
      <w:pPr>
        <w:pStyle w:val="3"/>
        <w:adjustRightInd w:val="0"/>
        <w:snapToGrid w:val="0"/>
        <w:spacing w:before="0" w:after="0" w:line="560" w:lineRule="exact"/>
        <w:ind w:firstLine="640" w:firstLineChars="200"/>
        <w:rPr>
          <w:rFonts w:ascii="黑体" w:hAnsi="黑体"/>
          <w:b w:val="0"/>
        </w:rPr>
      </w:pPr>
      <w:bookmarkStart w:id="90" w:name="_Toc65325607"/>
      <w:r>
        <w:rPr>
          <w:rFonts w:hint="eastAsia" w:ascii="黑体" w:hAnsi="黑体" w:eastAsia="宋体"/>
          <w:b w:val="0"/>
        </w:rPr>
        <w:t>五、審核及</w:t>
      </w:r>
      <w:r>
        <w:rPr>
          <w:rFonts w:ascii="黑体" w:hAnsi="黑体" w:eastAsia="宋体"/>
          <w:b w:val="0"/>
        </w:rPr>
        <w:t>操作</w:t>
      </w:r>
      <w:r>
        <w:rPr>
          <w:rFonts w:hint="eastAsia" w:ascii="黑体" w:hAnsi="黑体" w:eastAsia="宋体"/>
          <w:b w:val="0"/>
        </w:rPr>
        <w:t>要點</w:t>
      </w:r>
      <w:bookmarkEnd w:id="90"/>
    </w:p>
    <w:p>
      <w:pPr>
        <w:adjustRightInd w:val="0"/>
        <w:snapToGrid w:val="0"/>
        <w:spacing w:line="560" w:lineRule="exact"/>
        <w:ind w:firstLine="640" w:firstLineChars="200"/>
        <w:rPr>
          <w:rFonts w:ascii="仿宋_GB2312" w:hAnsi="仿宋" w:eastAsia="仿宋_GB2312"/>
          <w:sz w:val="32"/>
          <w:szCs w:val="32"/>
          <w:highlight w:val="yellow"/>
        </w:rPr>
      </w:pPr>
      <w:r>
        <w:rPr>
          <w:rFonts w:hint="eastAsia" w:ascii="仿宋_GB2312" w:hAnsi="仿宋" w:eastAsia="宋体"/>
          <w:sz w:val="32"/>
          <w:szCs w:val="32"/>
        </w:rPr>
        <w:t>1.境內銀行在“展業三原則”的基礎上，為個人辦理服務貿易及其他經常專案人民幣跨境結算業務，進一步便利個人薪酬等合法合規收入的跨境收付業務。</w:t>
      </w:r>
      <w:r>
        <w:rPr>
          <w:rFonts w:hint="eastAsia" w:ascii="仿宋_GB2312" w:hAnsi="仿宋" w:eastAsia="宋体" w:cs="仿宋"/>
          <w:sz w:val="32"/>
          <w:szCs w:val="32"/>
        </w:rPr>
        <w:t>銀行可在“展業三原則”基礎上，為中資“走出去”企業等優質企業提供跨境代發工資的便利服務，對同一個人的薪酬匯入，可僅在首次審核雇傭協議、完稅證明等相關背景資料。</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2．加強個人跨境匯款盡職調查。各營業機構應嚴格按照“瞭解你的客戶”、“瞭解你的業務”、“盡責審查”展業三原則要求，瞭解客戶資訊（例如姓名、性別、國籍、常駐國家/地區、職業等）；瞭解交易對手資訊、匯款資金來源和用途或其他交易背景資訊。</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3.遵守身份識別有關規定。按照《金融機構客戶身份識別和客戶身份資料及交易記錄保存管理辦法》（中國人民銀行、中國銀行業監督管理委員會、中國證券監督管理委員會、中國保險監督管理委員會令[2007]第2號）的要求辦理個人跨境人民幣結算業務。</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4.加強跨境匯款報文資訊完整性、透明性管理，在為客戶辦理跨境匯出匯款時，應完整登記並留存匯款人的姓名、帳號、地址（地址資訊必須包含國家/地區名稱）、收款人的姓名、地址（如無法提供收款人詳細地址，應至少提供國家及城市資訊）等資訊，並向接收匯款的金融機構如實傳遞上述資訊，不得修改、掩飾、刪除有關資訊。</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5.辦理境外匯入匯款時，如發現匯款人、收款人資訊缺失的，應要求前手金融機構補充提供。</w:t>
      </w:r>
      <w:bookmarkStart w:id="91" w:name="_Toc3802836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 w:eastAsia="宋体"/>
          <w:sz w:val="32"/>
          <w:szCs w:val="32"/>
        </w:rPr>
        <w:t>6.</w:t>
      </w:r>
      <w:r>
        <w:rPr>
          <w:rFonts w:hint="eastAsia" w:ascii="仿宋_GB2312" w:hAnsi="仿宋_GB2312" w:eastAsia="宋体" w:cs="仿宋_GB2312"/>
          <w:sz w:val="32"/>
          <w:szCs w:val="32"/>
        </w:rPr>
        <w:t>香港、澳門居民個人辦理其他經常專案跨境人民幣業務適用銀髮（</w:t>
      </w:r>
      <w:r>
        <w:rPr>
          <w:rFonts w:ascii="仿宋_GB2312" w:hAnsi="仿宋_GB2312" w:eastAsia="宋体" w:cs="仿宋_GB2312"/>
          <w:sz w:val="32"/>
          <w:szCs w:val="32"/>
        </w:rPr>
        <w:t>2018）3號文、銀髮〔2020〕330</w:t>
      </w:r>
      <w:r>
        <w:rPr>
          <w:rFonts w:hint="eastAsia" w:ascii="仿宋_GB2312" w:hAnsi="仿宋_GB2312" w:eastAsia="宋体" w:cs="仿宋_GB2312"/>
          <w:sz w:val="32"/>
          <w:szCs w:val="32"/>
        </w:rPr>
        <w:t>號相關規定。銀行可在展業三原則基礎上，為個人辦理其他經常專案人民幣跨境結算業務。此外，便利個人人民幣銀行結算帳戶接收港澳同名匯款，境內銀行可為香港、澳門居民開立個人人民幣銀行結算帳戶，用於接收香港、澳門居民每人每日</w:t>
      </w:r>
      <w:r>
        <w:rPr>
          <w:rFonts w:ascii="仿宋_GB2312" w:hAnsi="仿宋_GB2312" w:eastAsia="宋体" w:cs="仿宋_GB2312"/>
          <w:sz w:val="32"/>
          <w:szCs w:val="32"/>
        </w:rPr>
        <w:t>8萬元額度內的同名帳戶匯入資金，境內銀行應確保匯入及匯出資金使用符合現行規定，其中匯入資金僅可用於境內消費性支出，不得購買有價證券、金融衍生品、資產管理產品等金融產品。香港、澳門</w:t>
      </w:r>
      <w:r>
        <w:rPr>
          <w:rFonts w:hint="eastAsia" w:ascii="仿宋_GB2312" w:hAnsi="仿宋_GB2312" w:eastAsia="宋体" w:cs="仿宋_GB2312"/>
          <w:sz w:val="32"/>
          <w:szCs w:val="32"/>
        </w:rPr>
        <w:t>居民個人對大陸的跨境人民幣匯款及未提用部分的匯回，按照《中國人民銀行關於內地銀行與香港和澳門銀行辦理個人人民幣業務有關問題的通知》（銀髮〔</w:t>
      </w:r>
      <w:r>
        <w:rPr>
          <w:rFonts w:ascii="仿宋_GB2312" w:hAnsi="仿宋_GB2312" w:eastAsia="宋体" w:cs="仿宋_GB2312"/>
          <w:sz w:val="32"/>
          <w:szCs w:val="32"/>
        </w:rPr>
        <w:t>2004〕254號）</w:t>
      </w:r>
      <w:r>
        <w:rPr>
          <w:rFonts w:hint="eastAsia" w:ascii="仿宋_GB2312" w:hAnsi="仿宋_GB2312" w:eastAsia="宋体" w:cs="仿宋_GB2312"/>
          <w:sz w:val="32"/>
          <w:szCs w:val="32"/>
        </w:rPr>
        <w:t>辦理。</w:t>
      </w:r>
      <w:bookmarkEnd w:id="91"/>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宋体" w:cs="仿宋_GB2312"/>
          <w:sz w:val="32"/>
          <w:szCs w:val="32"/>
        </w:rPr>
        <w:t>7.</w:t>
      </w:r>
      <w:r>
        <w:rPr>
          <w:rFonts w:hint="eastAsia" w:ascii="仿宋_GB2312" w:hAnsi="仿宋_GB2312" w:eastAsia="宋体" w:cs="仿宋_GB2312"/>
          <w:sz w:val="32"/>
          <w:szCs w:val="32"/>
        </w:rPr>
        <w:t>臺灣</w:t>
      </w:r>
      <w:r>
        <w:rPr>
          <w:rFonts w:ascii="仿宋_GB2312" w:hAnsi="仿宋_GB2312" w:eastAsia="宋体" w:cs="仿宋_GB2312"/>
          <w:sz w:val="32"/>
          <w:szCs w:val="32"/>
        </w:rPr>
        <w:t>居民個人</w:t>
      </w:r>
      <w:r>
        <w:rPr>
          <w:rFonts w:hint="eastAsia" w:ascii="仿宋_GB2312" w:hAnsi="仿宋_GB2312" w:eastAsia="宋体" w:cs="仿宋_GB2312"/>
          <w:sz w:val="32"/>
          <w:szCs w:val="32"/>
        </w:rPr>
        <w:t>辦理其他經常專案跨境人民幣業務適用銀髮（</w:t>
      </w:r>
      <w:r>
        <w:rPr>
          <w:rFonts w:ascii="仿宋_GB2312" w:hAnsi="仿宋_GB2312" w:eastAsia="宋体" w:cs="仿宋_GB2312"/>
          <w:sz w:val="32"/>
          <w:szCs w:val="32"/>
        </w:rPr>
        <w:t>2018）3號文</w:t>
      </w:r>
      <w:r>
        <w:rPr>
          <w:rFonts w:hint="eastAsia" w:ascii="仿宋_GB2312" w:hAnsi="仿宋_GB2312" w:eastAsia="宋体" w:cs="仿宋_GB2312"/>
          <w:sz w:val="32"/>
          <w:szCs w:val="32"/>
        </w:rPr>
        <w:t>相關規定，銀行可在展業三原則基礎上，為個人辦理其他經常專案人民幣跨境結算業務。臺灣居民個人對大陸的跨境人民幣匯款及未提用部分的匯回業務，按照</w:t>
      </w:r>
      <w:r>
        <w:rPr>
          <w:rFonts w:ascii="仿宋_GB2312" w:hAnsi="仿宋_GB2312" w:eastAsia="宋体" w:cs="仿宋_GB2312"/>
          <w:sz w:val="32"/>
          <w:szCs w:val="32"/>
        </w:rPr>
        <w:t>《關於開展臺灣個人人民幣匯款業務的通知》</w:t>
      </w:r>
      <w:r>
        <w:rPr>
          <w:rFonts w:hint="eastAsia" w:ascii="仿宋_GB2312" w:hAnsi="仿宋_GB2312" w:eastAsia="宋体" w:cs="仿宋_GB2312"/>
          <w:sz w:val="32"/>
          <w:szCs w:val="32"/>
        </w:rPr>
        <w:t>辦理，應注意：</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（1）臺灣居民個人對大陸跨境匯款的收款帳戶不限於同名帳戶，銀行有義務對臺灣居民個人跨境人民幣匯款進行真實性審核。</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（2）對於臺灣居民個人對大陸人民幣匯款業務，有匯回需求的收款人可指定一個現有個人人民幣銀行結算帳戶，或新開立一個個人人民幣銀行結算帳戶，專門用於接收臺灣居民個人從臺灣匯來的人民幣資金。</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（3）收款人指定現有帳戶的，僅限接受過臺灣居民個人匯入款項的帳戶或帳戶餘額為零的帳戶。</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宋体"/>
          <w:sz w:val="32"/>
          <w:szCs w:val="32"/>
        </w:rPr>
        <w:t>（4）帳戶內人民幣資金可轉存為定期存款；可以提現，不能存現；可以轉入國內其他帳戶，但不可接受來自大陸其他帳戶或臺灣地區以外的帳戶的匯入款。</w:t>
      </w:r>
    </w:p>
    <w:p>
      <w:pPr>
        <w:adjustRightInd w:val="0"/>
        <w:snapToGrid w:val="0"/>
        <w:spacing w:line="560" w:lineRule="exact"/>
        <w:ind w:firstLine="640" w:firstLineChars="200"/>
        <w:rPr>
          <w:rFonts w:ascii="仿宋" w:hAnsi="仿宋" w:eastAsia="仿宋"/>
          <w:sz w:val="32"/>
          <w:szCs w:val="32"/>
        </w:rPr>
      </w:pPr>
      <w:r>
        <w:rPr>
          <w:rFonts w:hint="eastAsia" w:ascii="仿宋_GB2312" w:hAnsi="仿宋" w:eastAsia="宋体"/>
          <w:sz w:val="32"/>
          <w:szCs w:val="32"/>
        </w:rPr>
        <w:t>（5）經內地開戶銀行審核滿足上述（1）、（2）、（3）項帳戶使用要求的，帳戶開立人可將帳戶內未提用人民幣餘額原路匯回臺灣。</w:t>
      </w:r>
    </w:p>
    <w:p>
      <w:pPr>
        <w:pStyle w:val="3"/>
        <w:adjustRightInd w:val="0"/>
        <w:snapToGrid w:val="0"/>
        <w:spacing w:before="0" w:after="0" w:line="560" w:lineRule="exact"/>
        <w:ind w:firstLine="640" w:firstLineChars="200"/>
        <w:rPr>
          <w:rFonts w:ascii="黑体" w:hAnsi="黑体"/>
          <w:b w:val="0"/>
        </w:rPr>
      </w:pPr>
      <w:bookmarkStart w:id="92" w:name="_Toc65325608"/>
      <w:r>
        <w:rPr>
          <w:rFonts w:hint="eastAsia" w:ascii="黑体" w:hAnsi="黑体" w:eastAsia="宋体"/>
          <w:b w:val="0"/>
        </w:rPr>
        <w:t>六、風險提示</w:t>
      </w:r>
      <w:bookmarkEnd w:id="92"/>
    </w:p>
    <w:p>
      <w:pPr>
        <w:adjustRightInd w:val="0"/>
        <w:snapToGrid w:val="0"/>
        <w:spacing w:line="560" w:lineRule="exact"/>
        <w:ind w:firstLine="640" w:firstLineChars="200"/>
        <w:rPr>
          <w:rFonts w:ascii="仿宋_GB2312" w:hAnsi="仿宋" w:eastAsia="仿宋_GB2312"/>
          <w:sz w:val="30"/>
          <w:szCs w:val="30"/>
        </w:rPr>
      </w:pPr>
      <w:r>
        <w:rPr>
          <w:rFonts w:hint="eastAsia" w:ascii="仿宋_GB2312" w:hAnsi="仿宋" w:eastAsia="宋体"/>
          <w:sz w:val="32"/>
          <w:szCs w:val="32"/>
        </w:rPr>
        <w:t>對高風險個人業務加強盡職調查，不為資金來源或用途不合理，不符合客戶身份和帳戶性質的交易提供金融服務；不為涉嫌洗錢、恐怖融資或其他違法行為提供金融服務；不為違反監管政策導向的業務提供金融服務。</w:t>
      </w: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Align="top"/>
    </w:pPr>
    <w:r>
      <w:fldChar w:fldCharType="begin"/>
    </w:r>
    <w:r>
      <w:rPr>
        <w:rStyle w:val="33"/>
      </w:rPr>
      <w:instrText xml:space="preserve"> PAGE  </w:instrText>
    </w:r>
    <w:r>
      <w:fldChar w:fldCharType="separate"/>
    </w:r>
    <w:r>
      <w:rPr>
        <w:rStyle w:val="33"/>
        <w:rFonts w:eastAsia="宋体"/>
      </w:rPr>
      <w:t>2</w:t>
    </w:r>
    <w:r>
      <w:fldChar w:fldCharType="end"/>
    </w:r>
  </w:p>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3"/>
      </w:rPr>
    </w:pPr>
    <w:r>
      <w:fldChar w:fldCharType="begin"/>
    </w:r>
    <w:r>
      <w:rPr>
        <w:rStyle w:val="33"/>
      </w:rPr>
      <w:instrText xml:space="preserve">PAGE  </w:instrTex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rFonts w:eastAsia="宋体"/>
        <w:lang w:val="zh-CN"/>
      </w:rPr>
      <w:t>1</w:t>
    </w:r>
    <w:r>
      <w:rPr>
        <w:lang w:val="zh-CN"/>
      </w:rP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Align="top"/>
      <w:rPr>
        <w:sz w:val="36"/>
        <w:szCs w:val="36"/>
      </w:rPr>
    </w:pPr>
    <w:r>
      <w:rPr>
        <w:sz w:val="21"/>
        <w:szCs w:val="21"/>
      </w:rPr>
      <w:fldChar w:fldCharType="begin"/>
    </w:r>
    <w:r>
      <w:rPr>
        <w:rStyle w:val="33"/>
        <w:sz w:val="21"/>
        <w:szCs w:val="21"/>
      </w:rPr>
      <w:instrText xml:space="preserve"> PAGE  </w:instrText>
    </w:r>
    <w:r>
      <w:rPr>
        <w:sz w:val="21"/>
        <w:szCs w:val="21"/>
      </w:rPr>
      <w:fldChar w:fldCharType="separate"/>
    </w:r>
    <w:r>
      <w:rPr>
        <w:rStyle w:val="33"/>
        <w:rFonts w:eastAsia="宋体"/>
        <w:sz w:val="21"/>
        <w:szCs w:val="21"/>
      </w:rPr>
      <w:t>56</w:t>
    </w:r>
    <w:r>
      <w:rPr>
        <w:sz w:val="21"/>
        <w:szCs w:val="21"/>
      </w:rPr>
      <w:fldChar w:fldCharType="end"/>
    </w:r>
  </w:p>
  <w:p>
    <w:pPr>
      <w:pStyle w:val="1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kZDQxMGNmNzQ5ZjUzOTAyNDdhMDE5MmM1NDg4OWUifQ=="/>
  </w:docVars>
  <w:rsids>
    <w:rsidRoot w:val="00D3521A"/>
    <w:rsid w:val="00020FE9"/>
    <w:rsid w:val="000334AE"/>
    <w:rsid w:val="000505C9"/>
    <w:rsid w:val="000D4975"/>
    <w:rsid w:val="000E014F"/>
    <w:rsid w:val="000E2F4A"/>
    <w:rsid w:val="000F4413"/>
    <w:rsid w:val="001065F4"/>
    <w:rsid w:val="00147935"/>
    <w:rsid w:val="00164D65"/>
    <w:rsid w:val="001A4BA6"/>
    <w:rsid w:val="001B1EC1"/>
    <w:rsid w:val="001F01F3"/>
    <w:rsid w:val="00202FCF"/>
    <w:rsid w:val="002048A3"/>
    <w:rsid w:val="00213949"/>
    <w:rsid w:val="00242838"/>
    <w:rsid w:val="00263C28"/>
    <w:rsid w:val="00275AF8"/>
    <w:rsid w:val="00283064"/>
    <w:rsid w:val="0029017C"/>
    <w:rsid w:val="00296E6B"/>
    <w:rsid w:val="002B5641"/>
    <w:rsid w:val="003003EF"/>
    <w:rsid w:val="0037372E"/>
    <w:rsid w:val="00391B7E"/>
    <w:rsid w:val="003964B7"/>
    <w:rsid w:val="003B68D4"/>
    <w:rsid w:val="003D1211"/>
    <w:rsid w:val="003D7400"/>
    <w:rsid w:val="003F228E"/>
    <w:rsid w:val="00430D3F"/>
    <w:rsid w:val="0043578D"/>
    <w:rsid w:val="00444A89"/>
    <w:rsid w:val="00482F87"/>
    <w:rsid w:val="005135A7"/>
    <w:rsid w:val="00513935"/>
    <w:rsid w:val="00513B74"/>
    <w:rsid w:val="005152F8"/>
    <w:rsid w:val="00586656"/>
    <w:rsid w:val="005A4499"/>
    <w:rsid w:val="005D0313"/>
    <w:rsid w:val="005D60D2"/>
    <w:rsid w:val="005F6D98"/>
    <w:rsid w:val="00610A53"/>
    <w:rsid w:val="006555D0"/>
    <w:rsid w:val="006577F5"/>
    <w:rsid w:val="006726E5"/>
    <w:rsid w:val="0077190A"/>
    <w:rsid w:val="0077410B"/>
    <w:rsid w:val="007D4769"/>
    <w:rsid w:val="00944C70"/>
    <w:rsid w:val="00950EAB"/>
    <w:rsid w:val="00962433"/>
    <w:rsid w:val="009665B7"/>
    <w:rsid w:val="009856DA"/>
    <w:rsid w:val="00991A21"/>
    <w:rsid w:val="009A1D67"/>
    <w:rsid w:val="009D72E8"/>
    <w:rsid w:val="009F0A79"/>
    <w:rsid w:val="009F0E83"/>
    <w:rsid w:val="00A3279F"/>
    <w:rsid w:val="00A3731D"/>
    <w:rsid w:val="00A538EF"/>
    <w:rsid w:val="00AC0301"/>
    <w:rsid w:val="00BB0612"/>
    <w:rsid w:val="00C305E1"/>
    <w:rsid w:val="00CB61B6"/>
    <w:rsid w:val="00CF2124"/>
    <w:rsid w:val="00D0004F"/>
    <w:rsid w:val="00D3521A"/>
    <w:rsid w:val="00D367ED"/>
    <w:rsid w:val="00D91C44"/>
    <w:rsid w:val="00DB2F3E"/>
    <w:rsid w:val="00DC0175"/>
    <w:rsid w:val="00E62155"/>
    <w:rsid w:val="00EE257E"/>
    <w:rsid w:val="00EE7844"/>
    <w:rsid w:val="00EF5361"/>
    <w:rsid w:val="00F201EA"/>
    <w:rsid w:val="00F25DEF"/>
    <w:rsid w:val="00F8424A"/>
    <w:rsid w:val="00F92552"/>
    <w:rsid w:val="00FD14DE"/>
    <w:rsid w:val="0176607E"/>
    <w:rsid w:val="02865CB7"/>
    <w:rsid w:val="028C2964"/>
    <w:rsid w:val="03232870"/>
    <w:rsid w:val="050E2493"/>
    <w:rsid w:val="05167487"/>
    <w:rsid w:val="05284B01"/>
    <w:rsid w:val="062376D5"/>
    <w:rsid w:val="070E7539"/>
    <w:rsid w:val="08205EA2"/>
    <w:rsid w:val="08321601"/>
    <w:rsid w:val="083E7CB6"/>
    <w:rsid w:val="08CA539E"/>
    <w:rsid w:val="09BD29EF"/>
    <w:rsid w:val="0B2B2FAB"/>
    <w:rsid w:val="0C365D3C"/>
    <w:rsid w:val="0E526D39"/>
    <w:rsid w:val="0E8457DE"/>
    <w:rsid w:val="0EA97F09"/>
    <w:rsid w:val="0F61774B"/>
    <w:rsid w:val="0F9F176F"/>
    <w:rsid w:val="10DF4915"/>
    <w:rsid w:val="10E80306"/>
    <w:rsid w:val="115307C1"/>
    <w:rsid w:val="116A55A1"/>
    <w:rsid w:val="117B6066"/>
    <w:rsid w:val="11922B6D"/>
    <w:rsid w:val="121632CD"/>
    <w:rsid w:val="122711D7"/>
    <w:rsid w:val="128E5393"/>
    <w:rsid w:val="13617C5A"/>
    <w:rsid w:val="14716A3C"/>
    <w:rsid w:val="15F10FD6"/>
    <w:rsid w:val="16A821C1"/>
    <w:rsid w:val="16E26D57"/>
    <w:rsid w:val="172858D5"/>
    <w:rsid w:val="177839A3"/>
    <w:rsid w:val="185D59A0"/>
    <w:rsid w:val="18763E07"/>
    <w:rsid w:val="1A4C2D31"/>
    <w:rsid w:val="1AD265BB"/>
    <w:rsid w:val="1BEC0F52"/>
    <w:rsid w:val="1BFD7644"/>
    <w:rsid w:val="20982E05"/>
    <w:rsid w:val="21787F6A"/>
    <w:rsid w:val="219F1122"/>
    <w:rsid w:val="21CD4288"/>
    <w:rsid w:val="22FA68C5"/>
    <w:rsid w:val="231417AF"/>
    <w:rsid w:val="24AE4245"/>
    <w:rsid w:val="24E10292"/>
    <w:rsid w:val="26AB1594"/>
    <w:rsid w:val="28223C19"/>
    <w:rsid w:val="299514F0"/>
    <w:rsid w:val="2AF13AC0"/>
    <w:rsid w:val="2AF96EBC"/>
    <w:rsid w:val="2BC25712"/>
    <w:rsid w:val="2C397EEB"/>
    <w:rsid w:val="2C6F63F4"/>
    <w:rsid w:val="2E34517E"/>
    <w:rsid w:val="2FA516F2"/>
    <w:rsid w:val="30AE4147"/>
    <w:rsid w:val="30BF34F9"/>
    <w:rsid w:val="30E50780"/>
    <w:rsid w:val="31B46F9B"/>
    <w:rsid w:val="32C74D0A"/>
    <w:rsid w:val="32EF29AD"/>
    <w:rsid w:val="33876AEF"/>
    <w:rsid w:val="34D73340"/>
    <w:rsid w:val="356A77C2"/>
    <w:rsid w:val="366454D0"/>
    <w:rsid w:val="37094221"/>
    <w:rsid w:val="37C461C1"/>
    <w:rsid w:val="38E510F3"/>
    <w:rsid w:val="3B761039"/>
    <w:rsid w:val="3D407F0C"/>
    <w:rsid w:val="3DA634F1"/>
    <w:rsid w:val="3DD965D0"/>
    <w:rsid w:val="3E6276A9"/>
    <w:rsid w:val="3EEF151F"/>
    <w:rsid w:val="40264D5C"/>
    <w:rsid w:val="40911367"/>
    <w:rsid w:val="40E36AAC"/>
    <w:rsid w:val="4118576E"/>
    <w:rsid w:val="424B01BB"/>
    <w:rsid w:val="42541D7A"/>
    <w:rsid w:val="42B5253D"/>
    <w:rsid w:val="42D90A88"/>
    <w:rsid w:val="431F4EB8"/>
    <w:rsid w:val="43AF149B"/>
    <w:rsid w:val="43C610C0"/>
    <w:rsid w:val="43CD21F7"/>
    <w:rsid w:val="43D36EDC"/>
    <w:rsid w:val="440B6C0D"/>
    <w:rsid w:val="45C76287"/>
    <w:rsid w:val="46683C12"/>
    <w:rsid w:val="47831DE0"/>
    <w:rsid w:val="47BC3ADA"/>
    <w:rsid w:val="47C85937"/>
    <w:rsid w:val="489873C7"/>
    <w:rsid w:val="499B6125"/>
    <w:rsid w:val="49BF718C"/>
    <w:rsid w:val="4AA32C82"/>
    <w:rsid w:val="4AC44E3E"/>
    <w:rsid w:val="4C165914"/>
    <w:rsid w:val="4C1A5CE7"/>
    <w:rsid w:val="4C56394D"/>
    <w:rsid w:val="4D4C78A6"/>
    <w:rsid w:val="4DCD3E33"/>
    <w:rsid w:val="4DF542F3"/>
    <w:rsid w:val="4E2B4C43"/>
    <w:rsid w:val="4E7F52BC"/>
    <w:rsid w:val="4EF331E3"/>
    <w:rsid w:val="4F2C7F7E"/>
    <w:rsid w:val="4FEF4E1D"/>
    <w:rsid w:val="506D1AE5"/>
    <w:rsid w:val="50971243"/>
    <w:rsid w:val="52B1419A"/>
    <w:rsid w:val="52B145E6"/>
    <w:rsid w:val="52BA5103"/>
    <w:rsid w:val="534651FE"/>
    <w:rsid w:val="534A5FFE"/>
    <w:rsid w:val="5376147C"/>
    <w:rsid w:val="544F115F"/>
    <w:rsid w:val="55342697"/>
    <w:rsid w:val="564731BF"/>
    <w:rsid w:val="566A7E75"/>
    <w:rsid w:val="56745D73"/>
    <w:rsid w:val="56B12EC7"/>
    <w:rsid w:val="58AF078F"/>
    <w:rsid w:val="58E45766"/>
    <w:rsid w:val="59F7798F"/>
    <w:rsid w:val="5A126C5B"/>
    <w:rsid w:val="5A2E086C"/>
    <w:rsid w:val="5A6D25C5"/>
    <w:rsid w:val="5B3E3B91"/>
    <w:rsid w:val="5B806351"/>
    <w:rsid w:val="5C777F55"/>
    <w:rsid w:val="5D95449B"/>
    <w:rsid w:val="5DA724A1"/>
    <w:rsid w:val="5EC7538B"/>
    <w:rsid w:val="5F9B4C4D"/>
    <w:rsid w:val="5FE73964"/>
    <w:rsid w:val="602821A3"/>
    <w:rsid w:val="602F6539"/>
    <w:rsid w:val="607138C8"/>
    <w:rsid w:val="61FB5C50"/>
    <w:rsid w:val="62243DEA"/>
    <w:rsid w:val="623735C6"/>
    <w:rsid w:val="64495091"/>
    <w:rsid w:val="653D2227"/>
    <w:rsid w:val="65E812C5"/>
    <w:rsid w:val="66A764ED"/>
    <w:rsid w:val="66AC7E7F"/>
    <w:rsid w:val="671750C4"/>
    <w:rsid w:val="675A704A"/>
    <w:rsid w:val="6797309A"/>
    <w:rsid w:val="67A451E4"/>
    <w:rsid w:val="68613295"/>
    <w:rsid w:val="697506FA"/>
    <w:rsid w:val="69E46052"/>
    <w:rsid w:val="6A8A5B5F"/>
    <w:rsid w:val="6BE94890"/>
    <w:rsid w:val="6C6860E7"/>
    <w:rsid w:val="6CF24B52"/>
    <w:rsid w:val="6D80202D"/>
    <w:rsid w:val="6E024D37"/>
    <w:rsid w:val="6E066BFE"/>
    <w:rsid w:val="6F1C2CC4"/>
    <w:rsid w:val="70923398"/>
    <w:rsid w:val="71674EDF"/>
    <w:rsid w:val="7177341D"/>
    <w:rsid w:val="731A376D"/>
    <w:rsid w:val="74AA504C"/>
    <w:rsid w:val="74B00D51"/>
    <w:rsid w:val="759D3646"/>
    <w:rsid w:val="75A664B3"/>
    <w:rsid w:val="766E08DB"/>
    <w:rsid w:val="76DF9EB0"/>
    <w:rsid w:val="77B7A516"/>
    <w:rsid w:val="794323E9"/>
    <w:rsid w:val="7A0E6DD9"/>
    <w:rsid w:val="7D0B38F4"/>
    <w:rsid w:val="7E390EC3"/>
    <w:rsid w:val="7F6F1CBC"/>
    <w:rsid w:val="7F94598A"/>
    <w:rsid w:val="96FB4A4B"/>
    <w:rsid w:val="DFFBE91D"/>
    <w:rsid w:val="F3DBD481"/>
    <w:rsid w:val="FE3F9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8"/>
    <w:qFormat/>
    <w:uiPriority w:val="0"/>
    <w:pPr>
      <w:keepNext/>
      <w:keepLines/>
      <w:adjustRightInd w:val="0"/>
      <w:snapToGrid w:val="0"/>
      <w:spacing w:line="360" w:lineRule="auto"/>
      <w:ind w:firstLine="640" w:firstLineChars="200"/>
      <w:jc w:val="center"/>
      <w:outlineLvl w:val="0"/>
    </w:pPr>
    <w:rPr>
      <w:rFonts w:ascii="黑体" w:hAnsi="黑体" w:eastAsia="黑体" w:cs="Times New Roman"/>
      <w:bCs/>
      <w:kern w:val="44"/>
      <w:sz w:val="32"/>
      <w:szCs w:val="30"/>
      <w:lang w:val="zh-CN"/>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bCs/>
      <w:kern w:val="0"/>
      <w:sz w:val="32"/>
      <w:szCs w:val="32"/>
      <w:lang w:val="zh-CN"/>
    </w:rPr>
  </w:style>
  <w:style w:type="paragraph" w:styleId="4">
    <w:name w:val="heading 3"/>
    <w:basedOn w:val="1"/>
    <w:next w:val="1"/>
    <w:link w:val="50"/>
    <w:qFormat/>
    <w:uiPriority w:val="0"/>
    <w:pPr>
      <w:keepNext/>
      <w:keepLines/>
      <w:spacing w:before="260" w:after="260" w:line="413" w:lineRule="auto"/>
      <w:outlineLvl w:val="2"/>
    </w:pPr>
    <w:rPr>
      <w:rFonts w:cs="Times New Roman"/>
      <w:b/>
      <w:bCs/>
      <w:kern w:val="0"/>
      <w:sz w:val="32"/>
      <w:szCs w:val="32"/>
      <w:lang w:val="zh-CN"/>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index 8"/>
    <w:basedOn w:val="1"/>
    <w:next w:val="1"/>
    <w:qFormat/>
    <w:uiPriority w:val="0"/>
    <w:pPr>
      <w:ind w:left="1400" w:leftChars="1400"/>
    </w:pPr>
  </w:style>
  <w:style w:type="paragraph" w:styleId="7">
    <w:name w:val="index 5"/>
    <w:basedOn w:val="1"/>
    <w:next w:val="1"/>
    <w:qFormat/>
    <w:uiPriority w:val="0"/>
    <w:pPr>
      <w:ind w:left="800" w:leftChars="800"/>
    </w:pPr>
  </w:style>
  <w:style w:type="paragraph" w:styleId="8">
    <w:name w:val="annotation text"/>
    <w:basedOn w:val="1"/>
    <w:link w:val="56"/>
    <w:qFormat/>
    <w:uiPriority w:val="0"/>
    <w:pPr>
      <w:jc w:val="left"/>
    </w:pPr>
  </w:style>
  <w:style w:type="paragraph" w:styleId="9">
    <w:name w:val="index 6"/>
    <w:basedOn w:val="1"/>
    <w:next w:val="1"/>
    <w:qFormat/>
    <w:uiPriority w:val="0"/>
    <w:pPr>
      <w:ind w:left="1000" w:leftChars="1000"/>
    </w:pPr>
  </w:style>
  <w:style w:type="paragraph" w:styleId="10">
    <w:name w:val="index 4"/>
    <w:basedOn w:val="1"/>
    <w:next w:val="1"/>
    <w:qFormat/>
    <w:uiPriority w:val="0"/>
    <w:pPr>
      <w:ind w:left="600" w:leftChars="600"/>
    </w:pPr>
  </w:style>
  <w:style w:type="paragraph" w:styleId="11">
    <w:name w:val="toc 5"/>
    <w:basedOn w:val="1"/>
    <w:next w:val="1"/>
    <w:qFormat/>
    <w:uiPriority w:val="39"/>
    <w:pPr>
      <w:ind w:left="1680" w:leftChars="800"/>
    </w:pPr>
  </w:style>
  <w:style w:type="paragraph" w:styleId="12">
    <w:name w:val="toc 3"/>
    <w:basedOn w:val="1"/>
    <w:next w:val="1"/>
    <w:qFormat/>
    <w:uiPriority w:val="39"/>
    <w:pPr>
      <w:ind w:left="840" w:leftChars="400"/>
    </w:pPr>
  </w:style>
  <w:style w:type="paragraph" w:styleId="13">
    <w:name w:val="toc 8"/>
    <w:basedOn w:val="1"/>
    <w:next w:val="1"/>
    <w:qFormat/>
    <w:uiPriority w:val="39"/>
    <w:pPr>
      <w:ind w:left="2940" w:leftChars="1400"/>
    </w:pPr>
  </w:style>
  <w:style w:type="paragraph" w:styleId="14">
    <w:name w:val="index 3"/>
    <w:basedOn w:val="1"/>
    <w:next w:val="1"/>
    <w:qFormat/>
    <w:uiPriority w:val="0"/>
    <w:pPr>
      <w:ind w:left="400" w:leftChars="400"/>
    </w:pPr>
  </w:style>
  <w:style w:type="paragraph" w:styleId="15">
    <w:name w:val="Balloon Text"/>
    <w:basedOn w:val="1"/>
    <w:link w:val="57"/>
    <w:qFormat/>
    <w:uiPriority w:val="0"/>
    <w:rPr>
      <w:rFonts w:cs="Times New Roman"/>
      <w:sz w:val="18"/>
      <w:szCs w:val="18"/>
    </w:rPr>
  </w:style>
  <w:style w:type="paragraph" w:styleId="16">
    <w:name w:val="footer"/>
    <w:basedOn w:val="1"/>
    <w:link w:val="54"/>
    <w:qFormat/>
    <w:uiPriority w:val="0"/>
    <w:pPr>
      <w:tabs>
        <w:tab w:val="center" w:pos="4153"/>
        <w:tab w:val="right" w:pos="8306"/>
      </w:tabs>
      <w:snapToGrid w:val="0"/>
      <w:jc w:val="left"/>
    </w:pPr>
    <w:rPr>
      <w:sz w:val="18"/>
      <w:szCs w:val="18"/>
    </w:rPr>
  </w:style>
  <w:style w:type="paragraph" w:styleId="17">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basedOn w:val="1"/>
    <w:next w:val="1"/>
    <w:qFormat/>
    <w:uiPriority w:val="39"/>
    <w:pPr>
      <w:ind w:left="1260" w:leftChars="600"/>
    </w:pPr>
  </w:style>
  <w:style w:type="paragraph" w:styleId="20">
    <w:name w:val="index heading"/>
    <w:basedOn w:val="1"/>
    <w:next w:val="21"/>
    <w:qFormat/>
    <w:uiPriority w:val="0"/>
  </w:style>
  <w:style w:type="paragraph" w:styleId="21">
    <w:name w:val="index 1"/>
    <w:basedOn w:val="1"/>
    <w:next w:val="1"/>
    <w:unhideWhenUsed/>
    <w:qFormat/>
    <w:uiPriority w:val="0"/>
  </w:style>
  <w:style w:type="paragraph" w:styleId="22">
    <w:name w:val="toc 6"/>
    <w:basedOn w:val="1"/>
    <w:next w:val="1"/>
    <w:qFormat/>
    <w:uiPriority w:val="39"/>
    <w:pPr>
      <w:ind w:left="2100" w:leftChars="1000"/>
    </w:pPr>
  </w:style>
  <w:style w:type="paragraph" w:styleId="23">
    <w:name w:val="index 7"/>
    <w:basedOn w:val="1"/>
    <w:next w:val="1"/>
    <w:qFormat/>
    <w:uiPriority w:val="0"/>
    <w:pPr>
      <w:ind w:left="1200" w:leftChars="1200"/>
    </w:pPr>
  </w:style>
  <w:style w:type="paragraph" w:styleId="24">
    <w:name w:val="index 9"/>
    <w:basedOn w:val="1"/>
    <w:next w:val="1"/>
    <w:qFormat/>
    <w:uiPriority w:val="0"/>
    <w:pPr>
      <w:ind w:left="1600" w:leftChars="1600"/>
    </w:pPr>
  </w:style>
  <w:style w:type="paragraph" w:styleId="25">
    <w:name w:val="toc 2"/>
    <w:basedOn w:val="1"/>
    <w:next w:val="1"/>
    <w:qFormat/>
    <w:uiPriority w:val="39"/>
    <w:pPr>
      <w:ind w:left="420" w:leftChars="200"/>
    </w:pPr>
  </w:style>
  <w:style w:type="paragraph" w:styleId="26">
    <w:name w:val="toc 9"/>
    <w:basedOn w:val="1"/>
    <w:next w:val="1"/>
    <w:qFormat/>
    <w:uiPriority w:val="39"/>
    <w:pPr>
      <w:ind w:left="3360" w:leftChars="1600"/>
    </w:pPr>
  </w:style>
  <w:style w:type="paragraph" w:styleId="27">
    <w:name w:val="Normal (Web)"/>
    <w:basedOn w:val="1"/>
    <w:qFormat/>
    <w:uiPriority w:val="0"/>
    <w:pPr>
      <w:jc w:val="left"/>
    </w:pPr>
    <w:rPr>
      <w:kern w:val="0"/>
      <w:sz w:val="24"/>
    </w:rPr>
  </w:style>
  <w:style w:type="paragraph" w:styleId="28">
    <w:name w:val="index 2"/>
    <w:basedOn w:val="1"/>
    <w:next w:val="1"/>
    <w:qFormat/>
    <w:uiPriority w:val="0"/>
    <w:pPr>
      <w:ind w:left="200" w:leftChars="200"/>
    </w:pPr>
  </w:style>
  <w:style w:type="paragraph" w:styleId="29">
    <w:name w:val="Title"/>
    <w:basedOn w:val="1"/>
    <w:next w:val="1"/>
    <w:link w:val="67"/>
    <w:qFormat/>
    <w:uiPriority w:val="10"/>
    <w:pPr>
      <w:spacing w:before="240" w:after="60"/>
      <w:jc w:val="center"/>
      <w:outlineLvl w:val="0"/>
    </w:pPr>
    <w:rPr>
      <w:rFonts w:ascii="Cambria" w:hAnsi="Cambria" w:cs="Times New Roman"/>
      <w:b/>
      <w:bCs/>
      <w:sz w:val="32"/>
      <w:szCs w:val="32"/>
    </w:rPr>
  </w:style>
  <w:style w:type="paragraph" w:styleId="30">
    <w:name w:val="annotation subject"/>
    <w:basedOn w:val="8"/>
    <w:next w:val="8"/>
    <w:link w:val="59"/>
    <w:qFormat/>
    <w:uiPriority w:val="0"/>
    <w:rPr>
      <w:b/>
      <w:bCs/>
    </w:r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paragraph" w:customStyle="1" w:styleId="36">
    <w:name w:val="TOC 标题1"/>
    <w:basedOn w:val="2"/>
    <w:next w:val="1"/>
    <w:qFormat/>
    <w:uiPriority w:val="0"/>
    <w:pPr>
      <w:widowControl/>
      <w:adjustRightInd/>
      <w:snapToGrid/>
      <w:spacing w:before="480" w:line="276" w:lineRule="auto"/>
      <w:ind w:firstLine="0" w:firstLineChars="0"/>
      <w:jc w:val="left"/>
      <w:outlineLvl w:val="9"/>
    </w:pPr>
    <w:rPr>
      <w:rFonts w:ascii="Cambria" w:hAnsi="Cambria" w:eastAsia="宋体" w:cs="黑体"/>
      <w:b/>
      <w:color w:val="365F90"/>
      <w:kern w:val="0"/>
      <w:sz w:val="28"/>
      <w:szCs w:val="28"/>
    </w:rPr>
  </w:style>
  <w:style w:type="paragraph" w:customStyle="1" w:styleId="37">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8">
    <w:name w:val="修订1"/>
    <w:qFormat/>
    <w:uiPriority w:val="0"/>
    <w:rPr>
      <w:rFonts w:ascii="Calibri" w:hAnsi="Calibri" w:eastAsia="宋体" w:cs="Calibri"/>
      <w:kern w:val="2"/>
      <w:sz w:val="21"/>
      <w:szCs w:val="21"/>
      <w:lang w:val="en-US" w:eastAsia="zh-CN" w:bidi="ar-SA"/>
    </w:rPr>
  </w:style>
  <w:style w:type="paragraph" w:customStyle="1" w:styleId="39">
    <w:name w:val="列出段落11"/>
    <w:basedOn w:val="1"/>
    <w:qFormat/>
    <w:uiPriority w:val="0"/>
    <w:pPr>
      <w:ind w:firstLine="420" w:firstLineChars="200"/>
    </w:pPr>
  </w:style>
  <w:style w:type="paragraph" w:customStyle="1" w:styleId="40">
    <w:name w:val="列出段落1"/>
    <w:basedOn w:val="1"/>
    <w:qFormat/>
    <w:uiPriority w:val="0"/>
    <w:pPr>
      <w:spacing w:line="140" w:lineRule="atLeast"/>
      <w:ind w:firstLine="420" w:firstLineChars="200"/>
    </w:pPr>
  </w:style>
  <w:style w:type="paragraph" w:customStyle="1" w:styleId="41">
    <w:name w:val="p17"/>
    <w:basedOn w:val="1"/>
    <w:qFormat/>
    <w:uiPriority w:val="0"/>
    <w:pPr>
      <w:widowControl/>
      <w:jc w:val="left"/>
    </w:pPr>
    <w:rPr>
      <w:rFonts w:ascii="Times New Roman" w:hAnsi="Times New Roman" w:cs="Times New Roman"/>
      <w:kern w:val="0"/>
      <w:sz w:val="30"/>
      <w:szCs w:val="30"/>
    </w:rPr>
  </w:style>
  <w:style w:type="paragraph" w:customStyle="1" w:styleId="42">
    <w:name w:val="列出段落2"/>
    <w:basedOn w:val="1"/>
    <w:qFormat/>
    <w:uiPriority w:val="0"/>
    <w:pPr>
      <w:ind w:firstLine="420" w:firstLineChars="200"/>
    </w:pPr>
  </w:style>
  <w:style w:type="paragraph" w:customStyle="1" w:styleId="43">
    <w:name w:val="Char1"/>
    <w:basedOn w:val="1"/>
    <w:qFormat/>
    <w:uiPriority w:val="0"/>
    <w:pPr>
      <w:widowControl/>
      <w:jc w:val="left"/>
    </w:pPr>
    <w:rPr>
      <w:rFonts w:ascii="Times New Roman" w:hAnsi="Times New Roman" w:eastAsia="仿宋" w:cs="Times New Roman"/>
      <w:kern w:val="0"/>
      <w:sz w:val="28"/>
      <w:szCs w:val="22"/>
    </w:rPr>
  </w:style>
  <w:style w:type="paragraph" w:customStyle="1" w:styleId="44">
    <w:name w:val="p0"/>
    <w:basedOn w:val="1"/>
    <w:qFormat/>
    <w:uiPriority w:val="0"/>
    <w:pPr>
      <w:widowControl/>
    </w:pPr>
    <w:rPr>
      <w:rFonts w:ascii="Times New Roman" w:hAnsi="Times New Roman" w:cs="Times New Roman"/>
      <w:kern w:val="0"/>
    </w:rPr>
  </w:style>
  <w:style w:type="paragraph" w:customStyle="1" w:styleId="4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6">
    <w:name w:val="List Paragraph1"/>
    <w:basedOn w:val="1"/>
    <w:qFormat/>
    <w:uiPriority w:val="0"/>
    <w:pPr>
      <w:spacing w:line="140" w:lineRule="atLeast"/>
      <w:ind w:firstLine="420" w:firstLineChars="200"/>
    </w:pPr>
    <w:rPr>
      <w:rFonts w:cs="Times New Roman"/>
      <w:szCs w:val="22"/>
    </w:rPr>
  </w:style>
  <w:style w:type="paragraph" w:customStyle="1" w:styleId="47">
    <w:name w:val="TOC 标题2"/>
    <w:basedOn w:val="2"/>
    <w:next w:val="1"/>
    <w:unhideWhenUsed/>
    <w:qFormat/>
    <w:uiPriority w:val="39"/>
    <w:pPr>
      <w:widowControl/>
      <w:adjustRightInd/>
      <w:snapToGrid/>
      <w:spacing w:before="480" w:line="276" w:lineRule="auto"/>
      <w:ind w:firstLine="0" w:firstLineChars="0"/>
      <w:jc w:val="left"/>
      <w:outlineLvl w:val="9"/>
    </w:pPr>
    <w:rPr>
      <w:rFonts w:ascii="Cambria" w:hAnsi="Cambria" w:eastAsia="宋体"/>
      <w:b/>
      <w:color w:val="365F91"/>
      <w:kern w:val="0"/>
      <w:sz w:val="28"/>
      <w:szCs w:val="28"/>
      <w:lang w:val="en-US"/>
    </w:rPr>
  </w:style>
  <w:style w:type="character" w:customStyle="1" w:styleId="48">
    <w:name w:val="标题 1 字符"/>
    <w:basedOn w:val="32"/>
    <w:link w:val="2"/>
    <w:qFormat/>
    <w:uiPriority w:val="0"/>
    <w:rPr>
      <w:rFonts w:ascii="黑体" w:hAnsi="黑体" w:eastAsia="黑体" w:cs="Times New Roman"/>
      <w:bCs/>
      <w:kern w:val="44"/>
      <w:sz w:val="32"/>
      <w:szCs w:val="30"/>
      <w:lang w:val="zh-CN" w:eastAsia="zh-CN"/>
    </w:rPr>
  </w:style>
  <w:style w:type="character" w:customStyle="1" w:styleId="49">
    <w:name w:val="标题 2 字符"/>
    <w:basedOn w:val="32"/>
    <w:link w:val="3"/>
    <w:qFormat/>
    <w:uiPriority w:val="0"/>
    <w:rPr>
      <w:rFonts w:ascii="Arial" w:hAnsi="Arial" w:eastAsia="黑体" w:cs="Times New Roman"/>
      <w:b/>
      <w:bCs/>
      <w:kern w:val="0"/>
      <w:sz w:val="32"/>
      <w:szCs w:val="32"/>
      <w:lang w:val="zh-CN" w:eastAsia="zh-CN"/>
    </w:rPr>
  </w:style>
  <w:style w:type="character" w:customStyle="1" w:styleId="50">
    <w:name w:val="标题 3 字符1"/>
    <w:basedOn w:val="32"/>
    <w:link w:val="4"/>
    <w:qFormat/>
    <w:uiPriority w:val="0"/>
    <w:rPr>
      <w:rFonts w:ascii="Calibri" w:hAnsi="Calibri" w:eastAsia="宋体" w:cs="Times New Roman"/>
      <w:b/>
      <w:bCs/>
      <w:kern w:val="0"/>
      <w:sz w:val="32"/>
      <w:szCs w:val="32"/>
      <w:lang w:val="zh-CN" w:eastAsia="zh-CN"/>
    </w:rPr>
  </w:style>
  <w:style w:type="character" w:customStyle="1" w:styleId="51">
    <w:name w:val="页眉 字符"/>
    <w:link w:val="17"/>
    <w:qFormat/>
    <w:uiPriority w:val="0"/>
    <w:rPr>
      <w:rFonts w:ascii="Calibri" w:hAnsi="Calibri" w:eastAsia="宋体" w:cs="Calibri"/>
      <w:sz w:val="18"/>
      <w:szCs w:val="18"/>
    </w:rPr>
  </w:style>
  <w:style w:type="character" w:customStyle="1" w:styleId="52">
    <w:name w:val="页脚 Char1"/>
    <w:qFormat/>
    <w:uiPriority w:val="0"/>
    <w:rPr>
      <w:rFonts w:ascii="Calibri" w:hAnsi="Calibri" w:eastAsia="宋体" w:cs="Calibri"/>
      <w:sz w:val="18"/>
      <w:szCs w:val="18"/>
    </w:rPr>
  </w:style>
  <w:style w:type="character" w:customStyle="1" w:styleId="53">
    <w:name w:val="Header Char"/>
    <w:qFormat/>
    <w:uiPriority w:val="0"/>
    <w:rPr>
      <w:rFonts w:ascii="Times New Roman" w:hAnsi="Times New Roman" w:cs="Times New Roman"/>
      <w:sz w:val="18"/>
      <w:szCs w:val="18"/>
    </w:rPr>
  </w:style>
  <w:style w:type="character" w:customStyle="1" w:styleId="54">
    <w:name w:val="页脚 字符"/>
    <w:link w:val="16"/>
    <w:qFormat/>
    <w:uiPriority w:val="0"/>
    <w:rPr>
      <w:rFonts w:cs="Calibri"/>
      <w:sz w:val="18"/>
      <w:szCs w:val="18"/>
    </w:rPr>
  </w:style>
  <w:style w:type="character" w:customStyle="1" w:styleId="55">
    <w:name w:val="p0 Char Char"/>
    <w:qFormat/>
    <w:uiPriority w:val="0"/>
    <w:rPr>
      <w:rFonts w:ascii="Times New Roman" w:hAnsi="Times New Roman" w:eastAsia="宋体"/>
      <w:kern w:val="0"/>
      <w:sz w:val="21"/>
    </w:rPr>
  </w:style>
  <w:style w:type="character" w:customStyle="1" w:styleId="56">
    <w:name w:val="批注文字 字符"/>
    <w:link w:val="8"/>
    <w:qFormat/>
    <w:uiPriority w:val="0"/>
    <w:rPr>
      <w:rFonts w:ascii="Calibri" w:hAnsi="Calibri" w:cs="Calibri"/>
      <w:szCs w:val="21"/>
    </w:rPr>
  </w:style>
  <w:style w:type="character" w:customStyle="1" w:styleId="57">
    <w:name w:val="批注框文本 字符"/>
    <w:link w:val="15"/>
    <w:qFormat/>
    <w:uiPriority w:val="0"/>
    <w:rPr>
      <w:rFonts w:ascii="Calibri" w:hAnsi="Calibri" w:eastAsia="宋体" w:cs="Times New Roman"/>
      <w:sz w:val="18"/>
      <w:szCs w:val="18"/>
    </w:rPr>
  </w:style>
  <w:style w:type="character" w:customStyle="1" w:styleId="58">
    <w:name w:val="Footer Char"/>
    <w:qFormat/>
    <w:uiPriority w:val="0"/>
    <w:rPr>
      <w:rFonts w:ascii="Times New Roman" w:hAnsi="Times New Roman" w:cs="Times New Roman"/>
      <w:sz w:val="18"/>
      <w:szCs w:val="18"/>
    </w:rPr>
  </w:style>
  <w:style w:type="character" w:customStyle="1" w:styleId="59">
    <w:name w:val="批注主题 字符"/>
    <w:link w:val="30"/>
    <w:qFormat/>
    <w:uiPriority w:val="0"/>
    <w:rPr>
      <w:rFonts w:ascii="Calibri" w:hAnsi="Calibri" w:cs="Calibri"/>
      <w:b/>
      <w:bCs/>
      <w:szCs w:val="21"/>
    </w:rPr>
  </w:style>
  <w:style w:type="character" w:customStyle="1" w:styleId="60">
    <w:name w:val="Heading 3 Char"/>
    <w:qFormat/>
    <w:uiPriority w:val="0"/>
    <w:rPr>
      <w:rFonts w:ascii="Calibri" w:hAnsi="Calibri" w:eastAsia="宋体" w:cs="Calibri"/>
      <w:b/>
      <w:bCs/>
      <w:sz w:val="32"/>
      <w:szCs w:val="32"/>
    </w:rPr>
  </w:style>
  <w:style w:type="character" w:customStyle="1" w:styleId="61">
    <w:name w:val="标题 3 字符"/>
    <w:qFormat/>
    <w:uiPriority w:val="0"/>
    <w:rPr>
      <w:rFonts w:ascii="宋体" w:hAnsi="宋体" w:eastAsia="黑体" w:cs="宋体"/>
      <w:kern w:val="2"/>
      <w:sz w:val="36"/>
      <w:szCs w:val="36"/>
    </w:rPr>
  </w:style>
  <w:style w:type="character" w:customStyle="1" w:styleId="62">
    <w:name w:val="批注文字 Char1"/>
    <w:basedOn w:val="32"/>
    <w:semiHidden/>
    <w:qFormat/>
    <w:uiPriority w:val="99"/>
    <w:rPr>
      <w:rFonts w:ascii="Calibri" w:hAnsi="Calibri" w:eastAsia="宋体" w:cs="Calibri"/>
      <w:szCs w:val="21"/>
    </w:rPr>
  </w:style>
  <w:style w:type="character" w:customStyle="1" w:styleId="63">
    <w:name w:val="批注框文本 Char1"/>
    <w:basedOn w:val="32"/>
    <w:semiHidden/>
    <w:qFormat/>
    <w:uiPriority w:val="99"/>
    <w:rPr>
      <w:rFonts w:ascii="Calibri" w:hAnsi="Calibri" w:eastAsia="宋体" w:cs="Calibri"/>
      <w:sz w:val="18"/>
      <w:szCs w:val="18"/>
    </w:rPr>
  </w:style>
  <w:style w:type="character" w:customStyle="1" w:styleId="64">
    <w:name w:val="页脚 Char2"/>
    <w:basedOn w:val="32"/>
    <w:semiHidden/>
    <w:qFormat/>
    <w:uiPriority w:val="99"/>
    <w:rPr>
      <w:rFonts w:ascii="Calibri" w:hAnsi="Calibri" w:eastAsia="宋体" w:cs="Calibri"/>
      <w:sz w:val="18"/>
      <w:szCs w:val="18"/>
    </w:rPr>
  </w:style>
  <w:style w:type="character" w:customStyle="1" w:styleId="65">
    <w:name w:val="批注主题 Char1"/>
    <w:basedOn w:val="62"/>
    <w:semiHidden/>
    <w:qFormat/>
    <w:uiPriority w:val="99"/>
    <w:rPr>
      <w:rFonts w:ascii="Calibri" w:hAnsi="Calibri" w:eastAsia="宋体" w:cs="Calibri"/>
      <w:b/>
      <w:bCs/>
      <w:szCs w:val="21"/>
    </w:rPr>
  </w:style>
  <w:style w:type="character" w:customStyle="1" w:styleId="66">
    <w:name w:val="页眉 Char1"/>
    <w:basedOn w:val="32"/>
    <w:semiHidden/>
    <w:qFormat/>
    <w:uiPriority w:val="99"/>
    <w:rPr>
      <w:rFonts w:ascii="Calibri" w:hAnsi="Calibri" w:eastAsia="宋体" w:cs="Calibri"/>
      <w:sz w:val="18"/>
      <w:szCs w:val="18"/>
    </w:rPr>
  </w:style>
  <w:style w:type="character" w:customStyle="1" w:styleId="67">
    <w:name w:val="标题 字符"/>
    <w:basedOn w:val="32"/>
    <w:link w:val="29"/>
    <w:qFormat/>
    <w:uiPriority w:val="10"/>
    <w:rPr>
      <w:rFonts w:ascii="Cambria" w:hAnsi="Cambria" w:eastAsia="宋体" w:cs="Times New Roman"/>
      <w:b/>
      <w:bCs/>
      <w:sz w:val="32"/>
      <w:szCs w:val="32"/>
    </w:rPr>
  </w:style>
  <w:style w:type="character" w:customStyle="1" w:styleId="68">
    <w:name w:val="未处理的提及1"/>
    <w:basedOn w:val="3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PBC</Company>
  <Pages>66</Pages>
  <Words>29158</Words>
  <Characters>30104</Characters>
  <Lines>215</Lines>
  <Paragraphs>60</Paragraphs>
  <TotalTime>10</TotalTime>
  <ScaleCrop>false</ScaleCrop>
  <LinksUpToDate>false</LinksUpToDate>
  <CharactersWithSpaces>30278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2021-03-11T13:46:00Z</dcterms:created>
  <dc:creator>宋佳</dc:creator>
  <cp:lastModifiedBy>周强</cp:lastModifiedBy>
  <cp:lastPrinted>2023-02-28T03:31:00Z</cp:lastPrinted>
  <dcterms:modified xsi:type="dcterms:W3CDTF">2023-04-27T04:50:04Z</dcterms:modified>
  <dc:title>银行跨境人民币业务展业原则之服务贸易及其他经常项目展业规范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73263E839EA343D0B6C0760263687A95_12</vt:lpwstr>
  </property>
</Properties>
</file>