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pict>
          <v:shape id="_x0000_s1026" o:spid="_x0000_s1026" o:spt="75" type="#_x0000_t75" style="position:absolute;left:0pt;margin-left:907pt;margin-top:915pt;height:39pt;width:37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b/>
          <w:color w:val="000000"/>
          <w:sz w:val="32"/>
          <w:szCs w:val="32"/>
        </w:rPr>
        <w:t>2022年普通高等学校招生全国统一考试</w:t>
      </w:r>
      <w:r>
        <w:rPr>
          <w:rFonts w:hint="eastAsia"/>
          <w:b/>
          <w:color w:val="000000"/>
          <w:sz w:val="32"/>
          <w:szCs w:val="32"/>
        </w:rPr>
        <w:t>（全国甲卷）</w:t>
      </w:r>
    </w:p>
    <w:p>
      <w:pPr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生物</w:t>
      </w:r>
    </w:p>
    <w:p>
      <w:pPr>
        <w:adjustRightInd w:val="0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注意事项：</w:t>
      </w:r>
    </w:p>
    <w:p>
      <w:pPr>
        <w:adjustRightInd w:val="0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1．答卷前，考生务必将自己的姓名、准考证号填写在答题卡上。</w:t>
      </w:r>
    </w:p>
    <w:p>
      <w:pPr>
        <w:adjustRightInd w:val="0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2．回答选择题时，选出每小题答案后，用铅笔把答题卡上对应题目的答案标号涂黑</w:t>
      </w:r>
      <w:r>
        <w:rPr>
          <w:rFonts w:hint="eastAsia"/>
          <w:b/>
          <w:color w:val="000000"/>
          <w:sz w:val="24"/>
        </w:rPr>
        <w:t>。</w:t>
      </w:r>
      <w:r>
        <w:rPr>
          <w:b/>
          <w:color w:val="000000"/>
          <w:sz w:val="24"/>
        </w:rPr>
        <w:t>如需改动，用橡皮擦干净后，再选涂其他答案标号。回答非选择题时，将答案写在答题卡上，写在本试卷上无效。</w:t>
      </w:r>
    </w:p>
    <w:p>
      <w:pPr>
        <w:adjustRightInd w:val="0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3．考试结束后，将本试卷和答题卡一并交回。</w:t>
      </w:r>
    </w:p>
    <w:p>
      <w:pPr>
        <w:adjustRightInd w:val="0"/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一、选择题：本题共</w:t>
      </w:r>
      <w:r>
        <w:rPr>
          <w:rFonts w:hint="eastAsia"/>
          <w:b/>
          <w:color w:val="000000"/>
          <w:sz w:val="24"/>
        </w:rPr>
        <w:t>6</w:t>
      </w:r>
      <w:r>
        <w:rPr>
          <w:b/>
          <w:color w:val="000000"/>
          <w:sz w:val="24"/>
        </w:rPr>
        <w:t>小题，每小题6分，共</w:t>
      </w:r>
      <w:r>
        <w:rPr>
          <w:rFonts w:hint="eastAsia"/>
          <w:b/>
          <w:color w:val="000000"/>
          <w:sz w:val="24"/>
        </w:rPr>
        <w:t>36</w:t>
      </w:r>
      <w:r>
        <w:rPr>
          <w:b/>
          <w:color w:val="000000"/>
          <w:sz w:val="24"/>
        </w:rPr>
        <w:t>分。在每小题给出的四个选项中，只有一项是符合题目要求的。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1．钙在骨骼生长和肌肉收缩等过程中发挥重要作用。晒太阳有助于青少年骨骼生长，预防老年人骨质疏松。下列叙述错误的是（    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A．细胞中有以无机离子形式存在的钙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B．人体内Ca</w:t>
      </w:r>
      <w:r>
        <w:rPr>
          <w:color w:val="000000"/>
          <w:szCs w:val="21"/>
          <w:vertAlign w:val="superscript"/>
        </w:rPr>
        <w:t>2+</w:t>
      </w:r>
      <w:r>
        <w:rPr>
          <w:color w:val="000000"/>
          <w:szCs w:val="21"/>
        </w:rPr>
        <w:t>可自由通过细胞膜的磷脂双分子层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C．适当补充维生素D可以促进肠道对钙的吸收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D．人体血液中钙离子浓度过低易出现抽搐现象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2．植物成熟叶肉细胞的细胞液浓度可以不同。现将a、b、c三种细胞液浓度不同的某种植物成熟叶肉细胞，分别放入三个装有相同浓度蔗糖溶液的试管中，当水分交换达到平衡时观察到：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细胞a未发生变化；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细胞b体积增大；</w:t>
      </w: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细胞c发生了质壁分离。若在水分交换期间细胞与蔗糖溶液没有溶质的交换，下列关于这一实验的叙述，不合理的是（    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A．水分交换前，细胞b的细胞液浓度大于外界蔗糖溶液的浓度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B．水分交换前，细胞液浓度大小关系为细胞b&gt;细胞a&gt;细胞c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C．水分交换平衡时，细胞c的细胞液浓度大于细胞a的细胞液浓度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D．水分交换平衡时，细胞c的细胞液浓度等于外界蔗糖溶液的浓度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3．植物激素通常与其受体结合才能发挥生理作用。喷施某种植物激素，能使某种作物的矮生突变体长高。关于该矮生突变体矮生的原因，下列推测合理的是（    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A．赤霉素合成途径受阻               B．赤霉素受体合成受阻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C．脱落酸合成途径受阻               D．脱落酸受体合成受阻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4．线粒体是细胞进行有氧呼吸的主要场所。研究发现，经常运动的人肌细胞中线粒体数量通常比缺乏锻炼的人多。下列与线粒体有关的叙述，错误的是（    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A．有氧呼吸时细胞质基质和线粒体中都能产生ATP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B．线粒体内膜上的酶可以参与[H]和氧反应形成水的过程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C．线粒体中的丙酮酸分解成CO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和[H]的过程需要O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的直接参与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D．线粒体中的DNA能够通过转录和翻译控制某些蛋白质的合成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5．在鱼池中投放了一批某种鱼苗，一段时间内该鱼的种群数量、个体重量和种群总重量随时间的变化趋势如图所示。若在此期间鱼没有进行繁殖，则图中表示种群数量、个体重量、种群总重量的曲线分别是（    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pict>
          <v:shape id="_x0000_i1025" o:spt="75" type="#_x0000_t75" style="height:138pt;width:165.3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A．甲、丙、乙          B．乙、甲、丙        C．丙、甲、乙       D．丙、乙、甲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6．某种自花传粉植物的等位基因A/a和B/b位于非同源染色体上。A/a控制花粉育性，含A的花粉可育；含a的花粉50%可育、50%不育。B/b控制花色，红花对白花为显性。若基因型为AaBb的亲本进行自交，则下列叙述错误的是（    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A．子一代中红花植株数是白花植株数的3倍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B．子一代中基因型为aabb的个体所占比例是1/12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C．亲本产生的可育雄配子数是不育雄配子数的3倍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D．亲本产生的含B的可育雄配子数与含b的可育雄配子数相等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29．（9分）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根据光合作用中CO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的固定方式不同，可将植物分为C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植物和C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植物等类型。C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植物的CO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补偿点比C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植物的低。CO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补偿点通常是指环境CO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浓度降低导致光合速率与呼吸速率相等时的环境CO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浓度。回答下列问题。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（1）不同植物（如C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植物和C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植物）光合作用光反应阶段的产物是相同的，光反应阶段的产物是____________（答出3点即可）。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（2）正常条件下，植物叶片的光合产物不会全部运输到其他部位，原因是____________（答出1点即可）。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（3）干旱会导致气孔开度减小，研究发现在同等程度干旱条件下，C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植物比C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植物生长得好。从两种植物CO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补偿点的角度分析，可能的原因是______________。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30．（9分）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人体免疫系统对维持机体健康具有重要作用。机体初次和再次感染同一种病毒后，体内特异性抗体浓度变化如图所示。回答下列问题。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pict>
          <v:shape id="_x0000_i1026" o:spt="75" type="#_x0000_t75" style="height:135.35pt;width:184.6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（1）免疫细胞是免疫系统的重要组成成分，人体T细胞成熟的场所是_____________；体液免疫过程中，能产生大量特异性抗体的细胞是_____________。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（2）体液免疫过程中，抗体和病毒结合后病毒最终被清除的方式是_____________。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（3）病毒再次感染使机体内抗体浓度激增且保持较长时间（如图所示），此时抗体浓度激增的原因是_____________。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（4）依据图中所示的抗体浓度变化规律，为了获得更好的免疫效果，宜采取的疫苗接种措施是_____________。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31．（9分）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为保护和合理利用自然资源，某研究小组对某林地的动植物资源进行了调查。回答下列问题。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（1）调查发现，某种哺乳动物种群的年龄结构属于增长型，得出这一结论的主要依据是发现该种群中_____________。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（2）若要调查林地中某种双子叶植物的种群密度，可以采用的方法是_____________；若要调查某种鸟的种群密度，可以采用的方法是_____________。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（3）调查发现该林地的物种数目很多。一个群落中物种数目的多少称为_____________。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（4）该林地中，植物对动物的作用有_____________（答出2点即可）；动物对植物的作用有_____________（答出2点即可）。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32．（12分）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玉米是我国重要的粮食作物。玉米通常是雌雄同株异花植物（顶端长雄花序，叶腋长雌花序），但也有的是雌雄异株植物。玉米的性别受两对独立遗传的等位基因控制，雌花花序由显性基因B控制，雄花花序由显性基因T控制，基因型bbtt个体为雌株。现有甲（雌雄同株）、乙（雌株）、丙（雌株）、丁（雄株）4种纯合体玉米植株。回答下列问题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（1）若以甲为母本、丁为父本进行杂交育种，需进行人工传粉，具体做法是_____________。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（2）乙和丁杂交，F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全部表现为雌雄同株；F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自交，F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中雌株所占比例为_____________，F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中雄株的基因型是_____________；在F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的雌株中，与丙基因型相同的植株所占比例是_____________。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已知玉米籽粒的糯和非糯是由1对等位基因控制的相对性状。为了确定这对相对性状的显隐性，某研究人员将糯玉米纯合体与非糯玉米纯合体（两种玉米均为雌雄同株）间行种植进行实验，果穗成熟后依据果穗上籽粒的性状，可判断糯与非耀的显隐性。若糯是显性，则实验结果是_____________；若非糯是显性，则实验结果是_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37．【生物——选修1：生物技术实践】（15分）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某同学从被石油污染的土壤中分离得到A和B两株可以降解石油的细菌，在此基础上采用平板培养法比较二者降解石油的能力，并分析两个菌株的其他生理功能。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实验所用的培养基成分如下。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培养基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：K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HPO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，MgSO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，NH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NO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，石油。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培养基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：K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HPO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，MgSO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，石油。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操作步骤：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将A、B菌株分别接种在两瓶液体培养基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中培养，得到A、B菌液；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液体培养基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口中添加琼脂，分别制成平板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，并按图中所示在平板上打甲、乙两孔。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回答下列问题。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pict>
          <v:shape id="_x0000_i1027" o:spt="75" type="#_x0000_t75" style="height:90.65pt;width:93.3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（1）实验所用培养基中作为碳源的成分是____________。培养基中NH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NO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的作用是为菌株的生长提供氮源，氮源在菌体内可以参与合成____________（答出2种即可）等生物大分子。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（2）步骤</w:t>
      </w:r>
      <w:r>
        <w:rPr>
          <w:rFonts w:hint="eastAsia" w:ascii="宋体" w:hAnsi="宋体" w:cs="宋体"/>
          <w:color w:val="000000"/>
          <w:szCs w:val="21"/>
        </w:rPr>
        <w:t>①</w:t>
      </w:r>
      <w:r>
        <w:rPr>
          <w:color w:val="000000"/>
          <w:szCs w:val="21"/>
        </w:rPr>
        <w:t>中，在资源和空间不受限制的阶段，若最初接种N</w:t>
      </w:r>
      <w:r>
        <w:rPr>
          <w:color w:val="000000"/>
          <w:szCs w:val="21"/>
          <w:vertAlign w:val="subscript"/>
        </w:rPr>
        <w:t>0</w:t>
      </w:r>
      <w:r>
        <w:rPr>
          <w:color w:val="000000"/>
          <w:szCs w:val="21"/>
        </w:rPr>
        <w:t>个A细菌，繁殖n代后细菌的数量是____________。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（3）为了比较A、B降解石油的能力，某同学利用步骤</w:t>
      </w: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所得到的平板</w:t>
      </w:r>
      <w:r>
        <w:rPr>
          <w:rFonts w:hint="eastAsia" w:ascii="宋体" w:hAnsi="宋体" w:cs="宋体"/>
          <w:color w:val="000000"/>
          <w:szCs w:val="21"/>
        </w:rPr>
        <w:t>Ⅰ</w:t>
      </w:r>
      <w:r>
        <w:rPr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t>Ⅱ</w:t>
      </w:r>
      <w:r>
        <w:rPr>
          <w:color w:val="000000"/>
          <w:szCs w:val="21"/>
        </w:rPr>
        <w:t>进行实验，结果如表所示（“+”表示有透明圈，“+”越多表示透明圈越大，“-”表示无透明圈），推测该同学的实验思路是__________。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2853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菌株</w:t>
            </w: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透明圈大小</w:t>
            </w: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Ⅰ</w:t>
            </w: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平板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+++</w:t>
            </w: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2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</w:t>
            </w: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++</w:t>
            </w:r>
          </w:p>
        </w:tc>
        <w:tc>
          <w:tcPr>
            <w:tcW w:w="3323" w:type="dxa"/>
            <w:shd w:val="clear" w:color="auto" w:fill="auto"/>
          </w:tcPr>
          <w:p>
            <w:pPr>
              <w:adjustRightInd w:val="0"/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</w:tr>
    </w:tbl>
    <w:p>
      <w:pPr>
        <w:adjustRightInd w:val="0"/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（4）现有一贫氮且被石油污染的土壤，根据上表所示实验结果，治理石油污染应选用的菌株是____________，理由是___________。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38</w:t>
      </w:r>
      <w:r>
        <w:rPr>
          <w:color w:val="000000"/>
          <w:szCs w:val="21"/>
        </w:rPr>
        <w:t>．</w:t>
      </w:r>
      <w:r>
        <w:rPr>
          <w:rFonts w:hint="eastAsia"/>
          <w:color w:val="000000"/>
          <w:szCs w:val="21"/>
        </w:rPr>
        <w:t>[生物 选修3：现代生物科技专题]（15分）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某牧场引进一只产肉性能优异的良种公羊，为了在短时间内获得具有该公羊优良性，状的大量后代，该牧场利用胚胎工程技术进行了相关操作。回答下列问题，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为了实现体外受精需要采集良种公羊的精液，精液保存的方法是____________。在体外受精前要对精子进行获能处理，其原因是____________；精子体外获能可采用化学诱导法，诱导精子获能的药物是___________（答出1点即可）。利用该公羊的精子进行体外受精需要发育到一定时期的卵母细胞，因为卵母细胞达到___________时才具备与精子受精的能力。</w:t>
      </w:r>
    </w:p>
    <w:p>
      <w:pPr>
        <w:adjustRightInd w:val="0"/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（2）体外受精获得的受精卵发育成囊胚需要在特定的培养液中进行，该培养液的成分除无机盐、激素、血清外，还含的营养成分有___________（答出3点即可）等。将培养好的良种囊胚保存备用。</w:t>
      </w:r>
    </w:p>
    <w:p>
      <w:pPr>
        <w:adjustRightInd w:val="0"/>
        <w:spacing w:line="360" w:lineRule="auto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800" w:bottom="1440" w:left="1800" w:header="708" w:footer="708" w:gutter="0"/>
          <w:cols w:space="708" w:num="1"/>
        </w:sectPr>
      </w:pPr>
      <w:r>
        <w:rPr>
          <w:rFonts w:hint="eastAsia"/>
          <w:color w:val="000000"/>
          <w:szCs w:val="21"/>
        </w:rPr>
        <w:t>（3）请以保存的囊胚和相应数量的非繁殖期受体母羊为材料进行操作，以获得具有该公羊优良性状的后代。主要的操作步骤是___________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rPr>
        <w:color w:val="000000"/>
        <w:szCs w:val="21"/>
      </w:rPr>
    </w:pPr>
    <w:r>
      <w:rPr>
        <w:rFonts w:hint="eastAsia"/>
        <w:color w:val="000000"/>
        <w:szCs w:val="21"/>
      </w:rPr>
      <w:t>名师解读，权威剖析，独家奉献，打造不一样的高考！</w:t>
    </w:r>
    <w:r>
      <w:pict>
        <v:shape id="Picture 7" o:spid="_x0000_s2054" o:spt="75" alt="说明: 学科网LOGO源文件" type="#_x0000_t75" style="position:absolute;left:0pt;margin-left:92.45pt;margin-top:-10.95pt;height:25.5pt;width:21.7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o:title="学科网LOGO源文件"/>
          <o:lock v:ext="edit" aspectratio="t"/>
        </v:shape>
      </w:pic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o:spid="_x0000_s2055" o:spt="136" alt="学科网 zxxk.com" type="#_x0000_t136" style="position:absolute;left:0pt;margin-left:158.95pt;margin-top:407.9pt;height:2.85pt;width:2.85pt;mso-position-horizontal-relative:margin;mso-position-vertical-relative:margin;rotation:20643840f;z-index:-25165004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2056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o:title="{75232B38-A165-1FB7-499C-2E1C792CACB5}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7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8" o:spid="_x0000_s2058" o:spt="75" alt="学科网 zxxk.com" type="#_x0000_t75" style="position:absolute;left:0pt;margin-left:64.05pt;margin-top:-20.75pt;height:0.05pt;width:0.05pt;z-index:251665408;mso-width-relative:page;mso-height-relative:page;" filled="f" o:preferrelative="t" stroked="f" coordsize="21600,21600">
          <v:path/>
          <v:fill on="f" focussize="0,0"/>
          <v:stroke on="f" joinstyle="miter"/>
          <v:imagedata r:id="rId3" r:href="rId4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ascii="微软雅黑" w:hAnsi="微软雅黑" w:eastAsia="微软雅黑" w:cs="微软雅黑"/>
        <w:b/>
        <w:color w:val="CC0000"/>
        <w:sz w:val="28"/>
        <w:szCs w:val="28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0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8" o:spt="136" alt="学科网 zxxk.com" type="#_x0000_t136" style="height:0.65pt;width:0.6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_x0000_s2052" o:spid="_x0000_s2052" o:spt="75" alt="学科网 zxxk.com" type="#_x0000_t75" style="position:absolute;left:0pt;margin-left:351pt;margin-top:8.45pt;height:0.75pt;width:0.7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9" o:spid="_x0000_s2059" o:spt="75" type="#_x0000_t75" style="position:absolute;left:0pt;margin-left:10pt;margin-top:1000pt;height:19pt;width:25pt;mso-position-horizontal-relative:page;mso-position-vertical-relative:page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NTM4ZGIwYWI0NTZjMzk0Y2ViYTI1ODRkMjJlNDYifQ=="/>
  </w:docVars>
  <w:rsids>
    <w:rsidRoot w:val="00172A27"/>
    <w:rsid w:val="00032299"/>
    <w:rsid w:val="00036B54"/>
    <w:rsid w:val="0004107A"/>
    <w:rsid w:val="00042D20"/>
    <w:rsid w:val="00074D4E"/>
    <w:rsid w:val="000B4DDA"/>
    <w:rsid w:val="00143BA0"/>
    <w:rsid w:val="00172A27"/>
    <w:rsid w:val="001C5C3B"/>
    <w:rsid w:val="00210316"/>
    <w:rsid w:val="00254170"/>
    <w:rsid w:val="002A100D"/>
    <w:rsid w:val="00347821"/>
    <w:rsid w:val="003D2F98"/>
    <w:rsid w:val="003D3446"/>
    <w:rsid w:val="004039C9"/>
    <w:rsid w:val="004151FC"/>
    <w:rsid w:val="0043459B"/>
    <w:rsid w:val="00455017"/>
    <w:rsid w:val="004622A1"/>
    <w:rsid w:val="00463A45"/>
    <w:rsid w:val="00474FD3"/>
    <w:rsid w:val="004932BA"/>
    <w:rsid w:val="004C475B"/>
    <w:rsid w:val="004D04CE"/>
    <w:rsid w:val="004D2AA0"/>
    <w:rsid w:val="005A00A3"/>
    <w:rsid w:val="005C7B09"/>
    <w:rsid w:val="00616A96"/>
    <w:rsid w:val="006170F6"/>
    <w:rsid w:val="00643C85"/>
    <w:rsid w:val="00661634"/>
    <w:rsid w:val="006C193A"/>
    <w:rsid w:val="006F0AC1"/>
    <w:rsid w:val="00703C9A"/>
    <w:rsid w:val="007409DA"/>
    <w:rsid w:val="00747FC3"/>
    <w:rsid w:val="00815ACE"/>
    <w:rsid w:val="008210BD"/>
    <w:rsid w:val="00832B6F"/>
    <w:rsid w:val="00894AE8"/>
    <w:rsid w:val="008E017E"/>
    <w:rsid w:val="008E3A09"/>
    <w:rsid w:val="009035FD"/>
    <w:rsid w:val="00903880"/>
    <w:rsid w:val="00907FCC"/>
    <w:rsid w:val="0093198C"/>
    <w:rsid w:val="009801CE"/>
    <w:rsid w:val="0099176A"/>
    <w:rsid w:val="00995B8E"/>
    <w:rsid w:val="009D22B6"/>
    <w:rsid w:val="009D5325"/>
    <w:rsid w:val="009E60DD"/>
    <w:rsid w:val="00A45B40"/>
    <w:rsid w:val="00A84FC2"/>
    <w:rsid w:val="00AC54AD"/>
    <w:rsid w:val="00AE16B2"/>
    <w:rsid w:val="00B32E37"/>
    <w:rsid w:val="00B94BD3"/>
    <w:rsid w:val="00C02FC6"/>
    <w:rsid w:val="00C052B8"/>
    <w:rsid w:val="00C158B8"/>
    <w:rsid w:val="00C2519D"/>
    <w:rsid w:val="00C3132A"/>
    <w:rsid w:val="00C45FD9"/>
    <w:rsid w:val="00C473F2"/>
    <w:rsid w:val="00C671DC"/>
    <w:rsid w:val="00C72B72"/>
    <w:rsid w:val="00CF6E86"/>
    <w:rsid w:val="00D26350"/>
    <w:rsid w:val="00D66B88"/>
    <w:rsid w:val="00D8561D"/>
    <w:rsid w:val="00DC3B6E"/>
    <w:rsid w:val="00E85FEB"/>
    <w:rsid w:val="00EA547B"/>
    <w:rsid w:val="00EE165A"/>
    <w:rsid w:val="00F055CD"/>
    <w:rsid w:val="00F57130"/>
    <w:rsid w:val="00F90E51"/>
    <w:rsid w:val="00F9407A"/>
    <w:rsid w:val="00FB4854"/>
    <w:rsid w:val="00FD3F6E"/>
    <w:rsid w:val="00FD65A2"/>
    <w:rsid w:val="04ED064B"/>
    <w:rsid w:val="07A64E8C"/>
    <w:rsid w:val="0E9735D5"/>
    <w:rsid w:val="0EBD1213"/>
    <w:rsid w:val="10914580"/>
    <w:rsid w:val="14180254"/>
    <w:rsid w:val="19D41982"/>
    <w:rsid w:val="1BA3160C"/>
    <w:rsid w:val="22721A61"/>
    <w:rsid w:val="237E4019"/>
    <w:rsid w:val="253F05F7"/>
    <w:rsid w:val="28EF5CEF"/>
    <w:rsid w:val="2E494294"/>
    <w:rsid w:val="315B05EF"/>
    <w:rsid w:val="33315B32"/>
    <w:rsid w:val="33E00819"/>
    <w:rsid w:val="369B20BC"/>
    <w:rsid w:val="3FE43E1D"/>
    <w:rsid w:val="40D23C76"/>
    <w:rsid w:val="42231596"/>
    <w:rsid w:val="4DC71966"/>
    <w:rsid w:val="506D39BB"/>
    <w:rsid w:val="51496B1C"/>
    <w:rsid w:val="53E64A95"/>
    <w:rsid w:val="56DE36A7"/>
    <w:rsid w:val="58254B7B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  <w:rsid w:val="7F4A08A0"/>
    <w:rsid w:val="7F6C23AB"/>
  </w:rsids>
  <m:mathPr>
    <m:mathFont m:val="Cambria Math"/>
    <m:brkBin m:val="before"/>
    <m:brkBinSub m:val="--"/>
    <m:smallFrac m:val="1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31"/>
    <w:semiHidden/>
    <w:unhideWhenUsed/>
    <w:qFormat/>
    <w:uiPriority w:val="0"/>
    <w:rPr>
      <w:rFonts w:ascii="Calibri" w:hAnsi="Calibri"/>
      <w:b/>
      <w:bCs/>
    </w:rPr>
  </w:style>
  <w:style w:type="table" w:styleId="9">
    <w:name w:val="Table Grid"/>
    <w:basedOn w:val="8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semiHidden/>
    <w:unhideWhenUsed/>
    <w:qFormat/>
    <w:uiPriority w:val="99"/>
    <w:rPr>
      <w:color w:val="954F72"/>
      <w:u w:val="single"/>
    </w:rPr>
  </w:style>
  <w:style w:type="character" w:styleId="14">
    <w:name w:val="Hyperlink"/>
    <w:qFormat/>
    <w:uiPriority w:val="99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文字 字符1"/>
    <w:link w:val="2"/>
    <w:qFormat/>
    <w:uiPriority w:val="0"/>
    <w:rPr>
      <w:kern w:val="2"/>
      <w:sz w:val="21"/>
      <w:szCs w:val="24"/>
    </w:rPr>
  </w:style>
  <w:style w:type="character" w:customStyle="1" w:styleId="17">
    <w:name w:val="纯文本 字符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批注框文本 字符"/>
    <w:link w:val="4"/>
    <w:uiPriority w:val="0"/>
    <w:rPr>
      <w:kern w:val="2"/>
      <w:sz w:val="18"/>
      <w:szCs w:val="18"/>
    </w:rPr>
  </w:style>
  <w:style w:type="character" w:customStyle="1" w:styleId="19">
    <w:name w:val="页脚 字符"/>
    <w:link w:val="5"/>
    <w:uiPriority w:val="0"/>
    <w:rPr>
      <w:kern w:val="2"/>
      <w:sz w:val="18"/>
      <w:szCs w:val="22"/>
    </w:rPr>
  </w:style>
  <w:style w:type="character" w:customStyle="1" w:styleId="20">
    <w:name w:val="页眉 字符"/>
    <w:link w:val="6"/>
    <w:uiPriority w:val="99"/>
    <w:rPr>
      <w:kern w:val="2"/>
      <w:sz w:val="18"/>
      <w:szCs w:val="22"/>
    </w:rPr>
  </w:style>
  <w:style w:type="character" w:customStyle="1" w:styleId="21">
    <w:name w:val="sub_title s0"/>
    <w:basedOn w:val="10"/>
    <w:qFormat/>
    <w:uiPriority w:val="0"/>
  </w:style>
  <w:style w:type="character" w:customStyle="1" w:styleId="22">
    <w:name w:val="页码1"/>
    <w:basedOn w:val="10"/>
    <w:qFormat/>
    <w:uiPriority w:val="0"/>
  </w:style>
  <w:style w:type="paragraph" w:customStyle="1" w:styleId="23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5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8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9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0">
    <w:name w:val="批注文字 字符"/>
    <w:semiHidden/>
    <w:uiPriority w:val="0"/>
    <w:rPr>
      <w:rFonts w:ascii="Calibri" w:hAnsi="Calibri"/>
      <w:kern w:val="2"/>
      <w:sz w:val="21"/>
      <w:szCs w:val="24"/>
    </w:rPr>
  </w:style>
  <w:style w:type="character" w:customStyle="1" w:styleId="31">
    <w:name w:val="批注主题 字符"/>
    <w:link w:val="7"/>
    <w:semiHidden/>
    <w:uiPriority w:val="0"/>
    <w:rPr>
      <w:rFonts w:ascii="Calibri" w:hAnsi="Calibri"/>
      <w:b/>
      <w:bCs/>
      <w:kern w:val="2"/>
      <w:sz w:val="21"/>
      <w:szCs w:val="24"/>
    </w:rPr>
  </w:style>
  <w:style w:type="paragraph" w:styleId="32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styleId="33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34">
    <w:name w:val="MsoPlainText"/>
    <w:basedOn w:val="1"/>
    <w:uiPriority w:val="99"/>
    <w:pPr>
      <w:widowControl/>
      <w:jc w:val="left"/>
    </w:pPr>
    <w:rPr>
      <w:rFonts w:ascii="Cambria Math" w:hAnsi="宋体" w:cs="Cambria Math"/>
      <w:szCs w:val="21"/>
    </w:rPr>
  </w:style>
  <w:style w:type="paragraph" w:customStyle="1" w:styleId="35">
    <w:name w:val="正文_0"/>
    <w:qFormat/>
    <w:uiPriority w:val="0"/>
    <w:pPr>
      <w:widowControl w:val="0"/>
      <w:adjustRightInd w:val="0"/>
      <w:spacing w:line="312" w:lineRule="atLeast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36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正文_41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p15"/>
    <w:basedOn w:val="1"/>
    <w:uiPriority w:val="0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kern w:val="0"/>
      <w:sz w:val="24"/>
      <w:szCs w:val="20"/>
    </w:rPr>
  </w:style>
  <w:style w:type="paragraph" w:customStyle="1" w:styleId="46">
    <w:name w:val="Char3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paragraph" w:customStyle="1" w:styleId="47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正文_0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正文_0_3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纯文本_0"/>
    <w:basedOn w:val="35"/>
    <w:link w:val="52"/>
    <w:uiPriority w:val="0"/>
    <w:pPr>
      <w:adjustRightInd/>
      <w:spacing w:line="240" w:lineRule="auto"/>
    </w:pPr>
    <w:rPr>
      <w:rFonts w:ascii="宋体" w:hAnsi="Courier New" w:cs="Courier New"/>
      <w:kern w:val="2"/>
      <w:szCs w:val="21"/>
    </w:rPr>
  </w:style>
  <w:style w:type="character" w:customStyle="1" w:styleId="52">
    <w:name w:val="Char Char2"/>
    <w:link w:val="51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3">
    <w:name w:val="标题1 Char"/>
    <w:locked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4">
    <w:name w:val="Char Char3"/>
    <w:uiPriority w:val="0"/>
    <w:rPr>
      <w:rFonts w:hint="eastAsia"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55">
    <w:name w:val="纯文本 字符1"/>
    <w:semiHidden/>
    <w:qFormat/>
    <w:uiPriority w:val="99"/>
    <w:rPr>
      <w:rFonts w:hint="eastAsia" w:ascii="宋体" w:hAnsi="Courier New" w:eastAsia="宋体" w:cs="Courier New"/>
      <w:kern w:val="2"/>
      <w:sz w:val="21"/>
      <w:szCs w:val="24"/>
    </w:rPr>
  </w:style>
  <w:style w:type="character" w:customStyle="1" w:styleId="56">
    <w:name w:val="纯文本 Char1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8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file:///D:\qq&#25991;&#20214;\712321467\Image\C2C\Image2\%257B75232B38-A165-1FB7-499C-2E1C792CACB5%257D.png" TargetMode="Externa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/>
    <customShpInfo spid="_x0000_s2059"/>
    <customShpInfo spid="_x0000_s2054"/>
    <customShpInfo spid="_x0000_s2055"/>
    <customShpInfo spid="_x0000_s2056"/>
    <customShpInfo spid="_x0000_s2057"/>
    <customShpInfo spid="_x0000_s205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579</Words>
  <Characters>3304</Characters>
  <Lines>27</Lines>
  <Paragraphs>7</Paragraphs>
  <TotalTime>6</TotalTime>
  <ScaleCrop>false</ScaleCrop>
  <LinksUpToDate>false</LinksUpToDate>
  <CharactersWithSpaces>3876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2021-06-07T01:31:00Z</dcterms:created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Printed>2022-06-08T23:28:48Z</cp:lastPrinted>
  <dcterms:modified xsi:type="dcterms:W3CDTF">2022-06-08T23:30:40Z</dcterms:modified>
  <dc:subject>（解析版）2014年高考山东卷英语试题解析（精编版）.doc</dc:subject>
  <dc:title>（解析版）2014年高考山东卷英语试题解析（精编版）.doc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2052-11.1.0.11372</vt:lpwstr>
  </property>
  <property fmtid="{D5CDD505-2E9C-101B-9397-08002B2CF9AE}" pid="7" name="ICV">
    <vt:lpwstr>0128A6F06A9D4A3BAC21B7A2950E4893</vt:lpwstr>
  </property>
</Properties>
</file>