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jc w:val="center"/>
        <w:rPr>
          <w:rFonts w:ascii="华文新魏" w:eastAsia="华文新魏"/>
          <w:sz w:val="52"/>
          <w:szCs w:val="52"/>
        </w:rPr>
      </w:pPr>
      <w:r>
        <w:rPr>
          <w:rFonts w:ascii="华文新魏" w:eastAsia="华文新魏"/>
          <w:sz w:val="52"/>
          <w:szCs w:val="52"/>
        </w:rPr>
        <mc:AlternateContent>
          <mc:Choice Requires="wps">
            <w:drawing>
              <wp:anchor distT="0" distB="0" distL="114300" distR="114300" simplePos="0" relativeHeight="251659264" behindDoc="0" locked="0" layoutInCell="1" allowOverlap="1">
                <wp:simplePos x="0" y="0"/>
                <wp:positionH relativeFrom="column">
                  <wp:posOffset>-214630</wp:posOffset>
                </wp:positionH>
                <wp:positionV relativeFrom="paragraph">
                  <wp:posOffset>100330</wp:posOffset>
                </wp:positionV>
                <wp:extent cx="2083435" cy="442595"/>
                <wp:effectExtent l="12065" t="14605" r="9525" b="9525"/>
                <wp:wrapNone/>
                <wp:docPr id="1" name="Text Box 4"/>
                <wp:cNvGraphicFramePr/>
                <a:graphic xmlns:a="http://schemas.openxmlformats.org/drawingml/2006/main">
                  <a:graphicData uri="http://schemas.microsoft.com/office/word/2010/wordprocessingShape">
                    <wps:wsp>
                      <wps:cNvSpPr txBox="1">
                        <a:spLocks noChangeArrowheads="1"/>
                      </wps:cNvSpPr>
                      <wps:spPr bwMode="auto">
                        <a:xfrm>
                          <a:off x="0" y="0"/>
                          <a:ext cx="2083435" cy="442595"/>
                        </a:xfrm>
                        <a:prstGeom prst="rect">
                          <a:avLst/>
                        </a:prstGeom>
                        <a:solidFill>
                          <a:srgbClr val="FFFFFF"/>
                        </a:solidFill>
                        <a:ln w="12700">
                          <a:solidFill>
                            <a:srgbClr val="000000"/>
                          </a:solidFill>
                          <a:miter lim="800000"/>
                        </a:ln>
                      </wps:spPr>
                      <wps:txbx>
                        <w:txbxContent>
                          <w:p>
                            <w:pPr>
                              <w:spacing w:line="240" w:lineRule="exact"/>
                              <w:jc w:val="center"/>
                              <w:rPr>
                                <w:rFonts w:ascii="宋体" w:hAnsi="宋体"/>
                                <w:b/>
                                <w:bCs/>
                                <w:sz w:val="24"/>
                              </w:rPr>
                            </w:pPr>
                            <w:r>
                              <w:rPr>
                                <w:rFonts w:hint="eastAsia" w:ascii="宋体" w:hAnsi="宋体"/>
                                <w:b/>
                                <w:bCs/>
                                <w:sz w:val="24"/>
                              </w:rPr>
                              <w:t>第十九届“振兴杯”全国</w:t>
                            </w:r>
                          </w:p>
                          <w:p>
                            <w:pPr>
                              <w:jc w:val="center"/>
                              <w:rPr>
                                <w:sz w:val="24"/>
                              </w:rPr>
                            </w:pPr>
                            <w:r>
                              <w:rPr>
                                <w:rFonts w:hint="eastAsia" w:ascii="宋体" w:hAnsi="宋体"/>
                                <w:b/>
                                <w:bCs/>
                                <w:sz w:val="24"/>
                              </w:rPr>
                              <w:t>青年职业技能大赛技术文件</w:t>
                            </w:r>
                          </w:p>
                        </w:txbxContent>
                      </wps:txbx>
                      <wps:bodyPr rot="0" vert="horz" wrap="square" lIns="91440" tIns="45720" rIns="91440" bIns="45720" anchor="t" anchorCtr="0" upright="1">
                        <a:noAutofit/>
                      </wps:bodyPr>
                    </wps:wsp>
                  </a:graphicData>
                </a:graphic>
              </wp:anchor>
            </w:drawing>
          </mc:Choice>
          <mc:Fallback>
            <w:pict>
              <v:shape id="Text Box 4" o:spid="_x0000_s1026" o:spt="202" type="#_x0000_t202" style="position:absolute;left:0pt;margin-left:-16.9pt;margin-top:7.9pt;height:34.85pt;width:164.05pt;z-index:251659264;mso-width-relative:page;mso-height-relative:page;" fillcolor="#FFFFFF" filled="t" stroked="t" coordsize="21600,21600" o:gfxdata="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">
                <v:fill on="t" focussize="0,0"/>
                <v:stroke weight="1pt" color="#000000" miterlimit="8" joinstyle="miter"/>
                <v:imagedata o:title=""/>
                <o:lock v:ext="edit" aspectratio="f"/>
                <v:textbox>
                  <w:txbxContent>
                    <w:p>
                      <w:pPr>
                        <w:spacing w:line="240" w:lineRule="exact"/>
                        <w:jc w:val="center"/>
                        <w:rPr>
                          <w:rFonts w:ascii="宋体" w:hAnsi="宋体"/>
                          <w:b/>
                          <w:bCs/>
                          <w:sz w:val="24"/>
                        </w:rPr>
                      </w:pPr>
                      <w:r>
                        <w:rPr>
                          <w:rFonts w:hint="eastAsia" w:ascii="宋体" w:hAnsi="宋体"/>
                          <w:b/>
                          <w:bCs/>
                          <w:sz w:val="24"/>
                        </w:rPr>
                        <w:t>第十九届“振兴杯”全国</w:t>
                      </w:r>
                    </w:p>
                    <w:p>
                      <w:pPr>
                        <w:jc w:val="center"/>
                        <w:rPr>
                          <w:sz w:val="24"/>
                        </w:rPr>
                      </w:pPr>
                      <w:r>
                        <w:rPr>
                          <w:rFonts w:hint="eastAsia" w:ascii="宋体" w:hAnsi="宋体"/>
                          <w:b/>
                          <w:bCs/>
                          <w:sz w:val="24"/>
                        </w:rPr>
                        <w:t>青年职业技能大赛技术文件</w:t>
                      </w:r>
                    </w:p>
                  </w:txbxContent>
                </v:textbox>
              </v:shape>
            </w:pict>
          </mc:Fallback>
        </mc:AlternateContent>
      </w:r>
    </w:p>
    <w:p>
      <w:pPr>
        <w:jc w:val="center"/>
        <w:rPr>
          <w:rFonts w:ascii="华文新魏" w:eastAsia="华文新魏"/>
          <w:sz w:val="52"/>
          <w:szCs w:val="52"/>
        </w:rPr>
      </w:pPr>
    </w:p>
    <w:p>
      <w:pPr>
        <w:jc w:val="center"/>
        <w:rPr>
          <w:rFonts w:ascii="华文新魏" w:eastAsia="华文新魏"/>
          <w:sz w:val="52"/>
          <w:szCs w:val="52"/>
        </w:rPr>
      </w:pPr>
    </w:p>
    <w:p>
      <w:pPr>
        <w:jc w:val="center"/>
        <w:rPr>
          <w:rFonts w:ascii="黑体" w:hAnsi="黑体" w:eastAsia="黑体" w:cs="黑体"/>
          <w:sz w:val="52"/>
          <w:szCs w:val="52"/>
        </w:rPr>
      </w:pPr>
      <w:r>
        <w:rPr>
          <w:rFonts w:hint="eastAsia" w:ascii="黑体" w:hAnsi="黑体" w:eastAsia="黑体" w:cs="黑体"/>
          <w:sz w:val="52"/>
          <w:szCs w:val="52"/>
        </w:rPr>
        <w:t>机床装调维修工赛项</w:t>
      </w:r>
    </w:p>
    <w:p>
      <w:pPr>
        <w:jc w:val="center"/>
        <w:rPr>
          <w:rFonts w:ascii="华文新魏" w:eastAsia="华文新魏"/>
          <w:sz w:val="52"/>
          <w:szCs w:val="52"/>
        </w:rPr>
      </w:pPr>
      <w:r>
        <w:rPr>
          <w:rFonts w:hint="eastAsia" w:ascii="黑体" w:hAnsi="黑体" w:eastAsia="黑体" w:cs="黑体"/>
          <w:sz w:val="52"/>
          <w:szCs w:val="52"/>
        </w:rPr>
        <w:t>技术文件（职工组）</w:t>
      </w:r>
    </w:p>
    <w:p>
      <w:pPr>
        <w:jc w:val="center"/>
        <w:rPr>
          <w:rFonts w:ascii="华文新魏" w:eastAsia="华文新魏"/>
          <w:sz w:val="52"/>
          <w:szCs w:val="52"/>
        </w:rPr>
      </w:pPr>
    </w:p>
    <w:p>
      <w:pPr>
        <w:jc w:val="center"/>
        <w:rPr>
          <w:rFonts w:ascii="华文新魏" w:eastAsia="华文新魏"/>
          <w:sz w:val="52"/>
          <w:szCs w:val="52"/>
        </w:rPr>
      </w:pPr>
    </w:p>
    <w:p>
      <w:pPr>
        <w:jc w:val="center"/>
        <w:rPr>
          <w:rFonts w:ascii="华文新魏" w:eastAsia="华文新魏"/>
          <w:sz w:val="52"/>
          <w:szCs w:val="52"/>
        </w:rPr>
      </w:pPr>
    </w:p>
    <w:p>
      <w:pPr>
        <w:jc w:val="center"/>
        <w:rPr>
          <w:rFonts w:ascii="华文新魏" w:eastAsia="华文新魏"/>
          <w:sz w:val="52"/>
          <w:szCs w:val="52"/>
        </w:rPr>
      </w:pPr>
    </w:p>
    <w:p>
      <w:pPr>
        <w:jc w:val="center"/>
        <w:rPr>
          <w:rFonts w:ascii="华文新魏" w:eastAsia="华文新魏"/>
          <w:sz w:val="52"/>
          <w:szCs w:val="52"/>
        </w:rPr>
      </w:pPr>
    </w:p>
    <w:p>
      <w:pPr>
        <w:jc w:val="center"/>
        <w:rPr>
          <w:rFonts w:ascii="华文新魏" w:eastAsia="华文新魏"/>
          <w:sz w:val="52"/>
          <w:szCs w:val="52"/>
        </w:rPr>
      </w:pPr>
    </w:p>
    <w:p>
      <w:pPr>
        <w:jc w:val="center"/>
        <w:rPr>
          <w:rFonts w:ascii="华文新魏" w:eastAsia="华文新魏"/>
          <w:sz w:val="52"/>
          <w:szCs w:val="52"/>
        </w:rPr>
      </w:pPr>
    </w:p>
    <w:p>
      <w:pPr>
        <w:jc w:val="center"/>
        <w:rPr>
          <w:rFonts w:ascii="黑体" w:hAnsi="黑体" w:eastAsia="黑体" w:cs="黑体"/>
          <w:b/>
          <w:sz w:val="32"/>
          <w:szCs w:val="32"/>
        </w:rPr>
      </w:pPr>
      <w:r>
        <w:rPr>
          <w:rFonts w:hint="eastAsia" w:ascii="黑体" w:hAnsi="黑体" w:eastAsia="黑体" w:cs="黑体"/>
          <w:b/>
          <w:sz w:val="32"/>
          <w:szCs w:val="32"/>
        </w:rPr>
        <w:t>第十九届“振兴杯”全国青年职业技能大赛组委会</w:t>
      </w:r>
    </w:p>
    <w:p>
      <w:pPr>
        <w:jc w:val="center"/>
        <w:rPr>
          <w:rFonts w:ascii="黑体" w:hAnsi="黑体" w:eastAsia="黑体" w:cs="黑体"/>
          <w:b/>
          <w:sz w:val="32"/>
          <w:szCs w:val="32"/>
        </w:rPr>
      </w:pPr>
      <w:r>
        <w:rPr>
          <w:rFonts w:hint="eastAsia" w:ascii="黑体" w:hAnsi="黑体" w:eastAsia="黑体" w:cs="黑体"/>
          <w:b/>
          <w:sz w:val="32"/>
          <w:szCs w:val="32"/>
        </w:rPr>
        <w:t>2026年</w:t>
      </w:r>
      <w:r>
        <w:rPr>
          <w:rFonts w:hint="eastAsia" w:ascii="黑体" w:hAnsi="黑体" w:eastAsia="黑体" w:cs="黑体"/>
          <w:b/>
          <w:sz w:val="32"/>
          <w:szCs w:val="32"/>
          <w:lang w:val="en-US" w:eastAsia="zh-CN"/>
        </w:rPr>
        <w:t>7</w:t>
      </w:r>
      <w:bookmarkStart w:id="3" w:name="_GoBack"/>
      <w:bookmarkEnd w:id="3"/>
      <w:r>
        <w:rPr>
          <w:rFonts w:hint="eastAsia" w:ascii="黑体" w:hAnsi="黑体" w:eastAsia="黑体" w:cs="黑体"/>
          <w:b/>
          <w:sz w:val="32"/>
          <w:szCs w:val="32"/>
        </w:rPr>
        <w:t>月</w:t>
      </w:r>
    </w:p>
    <w:p>
      <w:pPr>
        <w:spacing w:line="500" w:lineRule="exact"/>
        <w:rPr>
          <w:b/>
          <w:bCs/>
          <w:sz w:val="36"/>
          <w:szCs w:val="36"/>
        </w:rPr>
      </w:pPr>
    </w:p>
    <w:p>
      <w:pPr>
        <w:spacing w:line="500" w:lineRule="exact"/>
        <w:rPr>
          <w:b/>
          <w:bCs/>
          <w:sz w:val="36"/>
          <w:szCs w:val="36"/>
        </w:rPr>
      </w:pPr>
    </w:p>
    <w:p>
      <w:pPr>
        <w:spacing w:line="500" w:lineRule="exact"/>
        <w:jc w:val="center"/>
        <w:rPr>
          <w:rFonts w:ascii="黑体" w:hAnsi="黑体" w:eastAsia="黑体" w:cs="黑体"/>
          <w:b/>
          <w:bCs/>
          <w:sz w:val="32"/>
          <w:szCs w:val="32"/>
        </w:rPr>
      </w:pPr>
      <w:r>
        <w:rPr>
          <w:rFonts w:hint="eastAsia" w:ascii="黑体" w:hAnsi="黑体" w:eastAsia="黑体" w:cs="黑体"/>
          <w:b/>
          <w:bCs/>
          <w:sz w:val="32"/>
          <w:szCs w:val="32"/>
        </w:rPr>
        <w:t>第十九届“振兴杯”全国青年职业技能大赛</w:t>
      </w:r>
    </w:p>
    <w:p>
      <w:pPr>
        <w:spacing w:line="500" w:lineRule="exact"/>
        <w:jc w:val="center"/>
        <w:rPr>
          <w:rFonts w:ascii="黑体" w:hAnsi="黑体" w:eastAsia="黑体" w:cs="黑体"/>
          <w:b/>
          <w:bCs/>
          <w:sz w:val="32"/>
          <w:szCs w:val="32"/>
        </w:rPr>
      </w:pPr>
      <w:r>
        <w:rPr>
          <w:rFonts w:hint="eastAsia" w:ascii="黑体" w:hAnsi="黑体" w:eastAsia="黑体" w:cs="黑体"/>
          <w:b/>
          <w:bCs/>
          <w:sz w:val="32"/>
          <w:szCs w:val="32"/>
        </w:rPr>
        <w:t>机床装调维修工赛项决赛技术文件</w:t>
      </w:r>
    </w:p>
    <w:p>
      <w:pPr>
        <w:spacing w:before="156" w:beforeLines="50" w:after="156" w:afterLines="50" w:line="360" w:lineRule="auto"/>
        <w:ind w:firstLine="602" w:firstLineChars="200"/>
        <w:rPr>
          <w:rFonts w:ascii="仿宋" w:hAnsi="仿宋" w:eastAsia="仿宋"/>
          <w:b/>
          <w:bCs/>
          <w:sz w:val="28"/>
          <w:szCs w:val="28"/>
        </w:rPr>
      </w:pPr>
      <w:r>
        <w:rPr>
          <w:rFonts w:hint="eastAsia" w:ascii="黑体" w:hAnsi="黑体" w:eastAsia="黑体" w:cs="黑体"/>
          <w:b/>
          <w:bCs/>
          <w:sz w:val="30"/>
          <w:szCs w:val="30"/>
        </w:rPr>
        <w:t>一、竞赛标准</w:t>
      </w:r>
    </w:p>
    <w:p>
      <w:pPr>
        <w:spacing w:before="156" w:beforeLines="50" w:after="156" w:afterLines="50"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机床装调维修工竞赛项目的技术标准以《机床装调维修工》国家职业技能标准三级/高级工为基础，涵盖国家职业技能等级三级以下内容，并融合部分二级/技师的内容。</w:t>
      </w:r>
    </w:p>
    <w:p>
      <w:pPr>
        <w:spacing w:before="156" w:beforeLines="50" w:after="156" w:afterLines="50" w:line="360" w:lineRule="auto"/>
        <w:ind w:firstLine="602" w:firstLineChars="200"/>
        <w:rPr>
          <w:rFonts w:ascii="仿宋" w:hAnsi="仿宋" w:eastAsia="仿宋"/>
          <w:b/>
          <w:bCs/>
          <w:sz w:val="28"/>
          <w:szCs w:val="28"/>
        </w:rPr>
      </w:pPr>
      <w:r>
        <w:rPr>
          <w:rFonts w:hint="eastAsia" w:ascii="黑体" w:hAnsi="黑体" w:eastAsia="黑体" w:cs="黑体"/>
          <w:b/>
          <w:bCs/>
          <w:sz w:val="30"/>
          <w:szCs w:val="30"/>
        </w:rPr>
        <w:t>二、命题原则</w:t>
      </w:r>
    </w:p>
    <w:p>
      <w:pPr>
        <w:ind w:firstLine="48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依据《机床装调维修工》国家职业技能标准，注重基本技能和专业化操作，注重操作过程和质量控制，注重安全生产以及职业道德和标准规范，体现现代技术，结合生产实际，考核职业综合能力，并对技能人才培养起到示范指导作用。</w:t>
      </w:r>
    </w:p>
    <w:p>
      <w:pPr>
        <w:spacing w:before="156" w:beforeLines="50" w:after="156" w:afterLines="50" w:line="360" w:lineRule="auto"/>
        <w:ind w:firstLine="602" w:firstLineChars="200"/>
        <w:rPr>
          <w:rFonts w:ascii="仿宋" w:hAnsi="仿宋" w:eastAsia="仿宋"/>
          <w:b/>
          <w:bCs/>
          <w:sz w:val="28"/>
          <w:szCs w:val="28"/>
        </w:rPr>
      </w:pPr>
      <w:r>
        <w:rPr>
          <w:rFonts w:hint="eastAsia" w:ascii="黑体" w:hAnsi="黑体" w:eastAsia="黑体" w:cs="黑体"/>
          <w:b/>
          <w:bCs/>
          <w:sz w:val="30"/>
          <w:szCs w:val="30"/>
        </w:rPr>
        <w:t>三、竞赛方式、时间与成绩计算</w:t>
      </w:r>
    </w:p>
    <w:p>
      <w:pPr>
        <w:tabs>
          <w:tab w:val="left" w:pos="3240"/>
        </w:tabs>
        <w:spacing w:line="360" w:lineRule="auto"/>
        <w:ind w:firstLine="480" w:firstLineChars="200"/>
        <w:rPr>
          <w:rFonts w:ascii="仿宋" w:hAnsi="仿宋" w:eastAsia="仿宋"/>
          <w:b/>
          <w:bCs/>
          <w:sz w:val="24"/>
        </w:rPr>
      </w:pPr>
      <w:r>
        <w:rPr>
          <w:rFonts w:hint="eastAsia" w:ascii="Calibri" w:hAnsi="Calibri" w:eastAsia="华文细黑"/>
          <w:b/>
          <w:bCs/>
          <w:sz w:val="24"/>
        </w:rPr>
        <w:t>（一）竞赛方式</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竞赛包括理论知识和实际操作竞赛两部分，单人赛。</w:t>
      </w:r>
    </w:p>
    <w:p>
      <w:pPr>
        <w:tabs>
          <w:tab w:val="left" w:pos="3240"/>
        </w:tabs>
        <w:spacing w:line="360" w:lineRule="auto"/>
        <w:ind w:firstLine="480" w:firstLineChars="200"/>
        <w:rPr>
          <w:rFonts w:ascii="Calibri" w:hAnsi="Calibri" w:eastAsia="华文细黑"/>
          <w:b/>
          <w:bCs/>
          <w:sz w:val="24"/>
        </w:rPr>
      </w:pPr>
      <w:r>
        <w:rPr>
          <w:rFonts w:hint="eastAsia" w:ascii="Calibri" w:hAnsi="Calibri" w:eastAsia="华文细黑"/>
          <w:b/>
          <w:bCs/>
          <w:sz w:val="24"/>
        </w:rPr>
        <w:t>（二）竞赛时间</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1</w:t>
      </w:r>
      <w:r>
        <w:rPr>
          <w:rFonts w:ascii="Noto Sans Mono CJK JP Regular" w:hAnsi="Noto Sans Mono CJK JP Regular" w:eastAsia="华文细黑" w:cs="Noto Sans Mono CJK JP Regular"/>
          <w:kern w:val="0"/>
          <w:sz w:val="24"/>
          <w:szCs w:val="22"/>
        </w:rPr>
        <w:t>.</w:t>
      </w:r>
      <w:r>
        <w:rPr>
          <w:rFonts w:hint="eastAsia" w:ascii="Noto Sans Mono CJK JP Regular" w:hAnsi="Noto Sans Mono CJK JP Regular" w:eastAsia="华文细黑" w:cs="Noto Sans Mono CJK JP Regular"/>
          <w:kern w:val="0"/>
          <w:sz w:val="24"/>
          <w:szCs w:val="22"/>
        </w:rPr>
        <w:t>理论知识竞赛时间80分钟。</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2.实操竞赛内容为完成机床设备的装调与维护，其中模块一为：数控机床电气智能化改造与维修，时间为180分钟；模块二为：机床机械系统的装调与维修，时间为180分钟。</w:t>
      </w:r>
    </w:p>
    <w:p>
      <w:pPr>
        <w:tabs>
          <w:tab w:val="left" w:pos="3240"/>
        </w:tabs>
        <w:spacing w:line="360" w:lineRule="auto"/>
        <w:ind w:firstLine="480" w:firstLineChars="200"/>
        <w:rPr>
          <w:rFonts w:ascii="Calibri" w:hAnsi="Calibri" w:eastAsia="华文细黑"/>
          <w:b/>
          <w:bCs/>
          <w:sz w:val="24"/>
        </w:rPr>
      </w:pPr>
      <w:r>
        <w:rPr>
          <w:rFonts w:hint="eastAsia" w:ascii="Calibri" w:hAnsi="Calibri" w:eastAsia="华文细黑"/>
          <w:b/>
          <w:bCs/>
          <w:sz w:val="24"/>
        </w:rPr>
        <w:t>（三）成绩计算</w:t>
      </w:r>
    </w:p>
    <w:p>
      <w:pPr>
        <w:pStyle w:val="4"/>
        <w:ind w:firstLine="480"/>
        <w:jc w:val="left"/>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竞赛总成绩满分为100分，由理论知识竞赛和实际操作竞赛两部分成绩组成。竞赛总成绩作为参赛选手名次排序的依据。</w:t>
      </w:r>
    </w:p>
    <w:p>
      <w:pPr>
        <w:ind w:firstLine="48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1.理论知识竞赛成绩占总成绩的30%，其中时事政治成绩占总成绩的10%，专业理论知识成绩占总成绩的20%。</w:t>
      </w:r>
    </w:p>
    <w:p>
      <w:pPr>
        <w:ind w:firstLine="480"/>
      </w:pPr>
      <w:r>
        <w:rPr>
          <w:rFonts w:hint="eastAsia" w:ascii="Noto Sans Mono CJK JP Regular" w:hAnsi="Noto Sans Mono CJK JP Regular" w:eastAsia="华文细黑" w:cs="Noto Sans Mono CJK JP Regular"/>
          <w:kern w:val="0"/>
          <w:sz w:val="24"/>
          <w:szCs w:val="22"/>
        </w:rPr>
        <w:t>2.实际操作竞赛成绩占总成绩的70%，其中模块一、模块二两部分各占总成绩的35</w:t>
      </w:r>
      <w:r>
        <w:rPr>
          <w:rFonts w:ascii="华文细黑" w:hAnsi="华文细黑"/>
        </w:rPr>
        <w:t>%</w:t>
      </w:r>
      <w:r>
        <w:t>。</w:t>
      </w:r>
    </w:p>
    <w:p>
      <w:pPr>
        <w:pStyle w:val="4"/>
        <w:ind w:firstLine="480"/>
        <w:jc w:val="left"/>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3</w:t>
      </w:r>
      <w:r>
        <w:rPr>
          <w:rFonts w:ascii="Noto Sans Mono CJK JP Regular" w:hAnsi="Noto Sans Mono CJK JP Regular" w:eastAsia="华文细黑" w:cs="Noto Sans Mono CJK JP Regular"/>
          <w:kern w:val="0"/>
          <w:sz w:val="24"/>
          <w:szCs w:val="22"/>
        </w:rPr>
        <w:t>.</w:t>
      </w:r>
      <w:r>
        <w:rPr>
          <w:rFonts w:hint="eastAsia" w:ascii="Noto Sans Mono CJK JP Regular" w:hAnsi="Noto Sans Mono CJK JP Regular" w:eastAsia="华文细黑" w:cs="Noto Sans Mono CJK JP Regular"/>
          <w:kern w:val="0"/>
          <w:sz w:val="24"/>
          <w:szCs w:val="22"/>
        </w:rPr>
        <w:t>若参赛选手总成绩相同，则按实操成绩排名，若实操成绩依然相同，则模块二成绩高的名次在前；若总成绩、实操成绩和模块二成绩均相同，则模块二用时最少的选手名次在前。</w:t>
      </w:r>
    </w:p>
    <w:p>
      <w:pPr>
        <w:spacing w:before="156" w:beforeLines="50" w:after="156" w:afterLines="50" w:line="360" w:lineRule="auto"/>
        <w:ind w:firstLine="602" w:firstLineChars="200"/>
        <w:rPr>
          <w:rFonts w:ascii="黑体" w:hAnsi="黑体" w:eastAsia="黑体" w:cs="黑体"/>
          <w:b/>
          <w:bCs/>
          <w:sz w:val="30"/>
          <w:szCs w:val="30"/>
        </w:rPr>
      </w:pPr>
      <w:r>
        <w:rPr>
          <w:rFonts w:hint="eastAsia" w:ascii="黑体" w:hAnsi="黑体" w:eastAsia="黑体" w:cs="黑体"/>
          <w:b/>
          <w:bCs/>
          <w:sz w:val="30"/>
          <w:szCs w:val="30"/>
        </w:rPr>
        <w:t>四、竞赛范围、比重、类型及其它</w:t>
      </w:r>
    </w:p>
    <w:p>
      <w:pPr>
        <w:tabs>
          <w:tab w:val="left" w:pos="3240"/>
        </w:tabs>
        <w:spacing w:line="360" w:lineRule="auto"/>
        <w:ind w:firstLine="480" w:firstLineChars="200"/>
        <w:rPr>
          <w:rFonts w:ascii="仿宋" w:hAnsi="仿宋" w:eastAsia="仿宋"/>
          <w:b/>
          <w:bCs/>
          <w:sz w:val="24"/>
        </w:rPr>
      </w:pPr>
      <w:r>
        <w:rPr>
          <w:rFonts w:hint="eastAsia" w:ascii="Calibri" w:hAnsi="Calibri" w:eastAsia="华文细黑"/>
          <w:b/>
          <w:bCs/>
          <w:sz w:val="24"/>
        </w:rPr>
        <w:t>（一）理论知识竞赛</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1.试题范围</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理论知识竞赛以竞赛题库作为参考资料，决赛前两个月在团中央网站上公布理论知识竞赛题库（不含时事政治题），时事政治题单独命题。</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2.试题题型</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竞赛试题包括判断题与单项选择题两种类型。</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3.竞赛方式</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理论知识竞赛采用计算机软件答题。决赛前一个月可以在大赛官网上模拟答题。</w:t>
      </w:r>
    </w:p>
    <w:p>
      <w:pPr>
        <w:tabs>
          <w:tab w:val="left" w:pos="3240"/>
        </w:tabs>
        <w:spacing w:line="360" w:lineRule="auto"/>
        <w:ind w:firstLine="480" w:firstLineChars="200"/>
        <w:rPr>
          <w:rFonts w:ascii="Calibri" w:hAnsi="Calibri" w:eastAsia="华文细黑"/>
          <w:b/>
          <w:bCs/>
          <w:sz w:val="24"/>
        </w:rPr>
      </w:pPr>
      <w:r>
        <w:rPr>
          <w:rFonts w:hint="eastAsia" w:ascii="Calibri" w:hAnsi="Calibri" w:eastAsia="华文细黑"/>
          <w:b/>
          <w:bCs/>
          <w:sz w:val="24"/>
        </w:rPr>
        <w:t>（二）实际操作竞赛</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本次实操竞赛以操作技能为主，设备使用及安全文明生产在实际操作比赛过程中进行考查，不再单独命题。</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1.试题范围</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（1）模块一、数控机床电气智能化改造与维修</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根据竞赛操作技能要求，参赛选手完成下列工作任务：</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ascii="Noto Sans Mono CJK JP Regular" w:hAnsi="Noto Sans Mono CJK JP Regular" w:eastAsia="华文细黑" w:cs="Noto Sans Mono CJK JP Regular"/>
          <w:kern w:val="0"/>
          <w:sz w:val="24"/>
          <w:szCs w:val="22"/>
        </w:rPr>
        <w:t>1）</w:t>
      </w:r>
      <w:r>
        <w:rPr>
          <w:rFonts w:hint="eastAsia" w:ascii="Noto Sans Mono CJK JP Regular" w:hAnsi="Noto Sans Mono CJK JP Regular" w:eastAsia="华文细黑" w:cs="Noto Sans Mono CJK JP Regular"/>
          <w:kern w:val="0"/>
          <w:sz w:val="24"/>
          <w:szCs w:val="22"/>
        </w:rPr>
        <w:t>根据任务书的功能要求、工艺规范，完成数控机床电气智能化系统的升级改造。</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ascii="Noto Sans Mono CJK JP Regular" w:hAnsi="Noto Sans Mono CJK JP Regular" w:eastAsia="华文细黑" w:cs="Noto Sans Mono CJK JP Regular"/>
          <w:kern w:val="0"/>
          <w:sz w:val="24"/>
          <w:szCs w:val="22"/>
        </w:rPr>
        <w:t>2）</w:t>
      </w:r>
      <w:r>
        <w:rPr>
          <w:rFonts w:hint="eastAsia" w:ascii="Noto Sans Mono CJK JP Regular" w:hAnsi="Noto Sans Mono CJK JP Regular" w:eastAsia="华文细黑" w:cs="Noto Sans Mono CJK JP Regular"/>
          <w:kern w:val="0"/>
          <w:sz w:val="24"/>
          <w:szCs w:val="22"/>
        </w:rPr>
        <w:t>根据任务书的功能要求，完成机床数控系统参数配置、整机功能编程及调试。</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3）根据任务书和数控机床系统运行工况，选用仪表对电路进行检测，判断与排除机床的故障，并填写维修记录单。</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4）</w:t>
      </w:r>
      <w:r>
        <w:rPr>
          <w:rFonts w:ascii="Noto Sans Mono CJK JP Regular" w:hAnsi="Noto Sans Mono CJK JP Regular" w:eastAsia="华文细黑" w:cs="Noto Sans Mono CJK JP Regular"/>
          <w:kern w:val="0"/>
          <w:sz w:val="24"/>
          <w:szCs w:val="22"/>
        </w:rPr>
        <w:t>职业素养规范。包含安全文明生产、操作规范、工量具的使用等。</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（2）模块二、机床机械系统的装调与维修</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根据竞赛操作技能要求，参赛选手完成下列工作任务：</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ascii="Noto Sans Mono CJK JP Regular" w:hAnsi="Noto Sans Mono CJK JP Regular" w:eastAsia="华文细黑" w:cs="Noto Sans Mono CJK JP Regular"/>
          <w:kern w:val="0"/>
          <w:sz w:val="24"/>
          <w:szCs w:val="22"/>
        </w:rPr>
        <w:t>1）</w:t>
      </w:r>
      <w:r>
        <w:rPr>
          <w:rFonts w:hint="eastAsia" w:ascii="Noto Sans Mono CJK JP Regular" w:hAnsi="Noto Sans Mono CJK JP Regular" w:eastAsia="华文细黑" w:cs="Noto Sans Mono CJK JP Regular"/>
          <w:kern w:val="0"/>
          <w:sz w:val="24"/>
          <w:szCs w:val="22"/>
        </w:rPr>
        <w:t>根据任务书的要求对机床进行水平检测与调整。</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ascii="Noto Sans Mono CJK JP Regular" w:hAnsi="Noto Sans Mono CJK JP Regular" w:eastAsia="华文细黑" w:cs="Noto Sans Mono CJK JP Regular"/>
          <w:kern w:val="0"/>
          <w:sz w:val="24"/>
          <w:szCs w:val="22"/>
        </w:rPr>
        <w:t>2）</w:t>
      </w:r>
      <w:r>
        <w:rPr>
          <w:rFonts w:hint="eastAsia" w:ascii="Noto Sans Mono CJK JP Regular" w:hAnsi="Noto Sans Mono CJK JP Regular" w:eastAsia="华文细黑" w:cs="Noto Sans Mono CJK JP Regular"/>
          <w:kern w:val="0"/>
          <w:sz w:val="24"/>
          <w:szCs w:val="22"/>
        </w:rPr>
        <w:t>根据任务书的要求完成机械零件、部件及试运行前的检测，并排除故障。包含机械连接、密封、零件、部件等的检测与维修。</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ascii="Noto Sans Mono CJK JP Regular" w:hAnsi="Noto Sans Mono CJK JP Regular" w:eastAsia="华文细黑" w:cs="Noto Sans Mono CJK JP Regular"/>
          <w:kern w:val="0"/>
          <w:sz w:val="24"/>
          <w:szCs w:val="22"/>
        </w:rPr>
        <w:t>3）</w:t>
      </w:r>
      <w:r>
        <w:rPr>
          <w:rFonts w:hint="eastAsia" w:ascii="Noto Sans Mono CJK JP Regular" w:hAnsi="Noto Sans Mono CJK JP Regular" w:eastAsia="华文细黑" w:cs="Noto Sans Mono CJK JP Regular"/>
          <w:kern w:val="0"/>
          <w:sz w:val="24"/>
          <w:szCs w:val="22"/>
        </w:rPr>
        <w:t>根据工作任务书的要求完成机床机械的精细装调。包含平面及空间方向的位置精度、传动精度及性能等的精细化检测与调整。</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ascii="Noto Sans Mono CJK JP Regular" w:hAnsi="Noto Sans Mono CJK JP Regular" w:eastAsia="华文细黑" w:cs="Noto Sans Mono CJK JP Regular"/>
          <w:kern w:val="0"/>
          <w:sz w:val="24"/>
          <w:szCs w:val="22"/>
        </w:rPr>
        <w:t>4）</w:t>
      </w:r>
      <w:r>
        <w:rPr>
          <w:rFonts w:hint="eastAsia" w:ascii="Noto Sans Mono CJK JP Regular" w:hAnsi="Noto Sans Mono CJK JP Regular" w:eastAsia="华文细黑" w:cs="Noto Sans Mono CJK JP Regular"/>
          <w:kern w:val="0"/>
          <w:sz w:val="24"/>
          <w:szCs w:val="22"/>
        </w:rPr>
        <w:t>根据工作任务书的要求，调试运行机床机械系统，完成试车与零件加工，并选用仪器测试相关运行数据。</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ascii="Noto Sans Mono CJK JP Regular" w:hAnsi="Noto Sans Mono CJK JP Regular" w:eastAsia="华文细黑" w:cs="Noto Sans Mono CJK JP Regular"/>
          <w:kern w:val="0"/>
          <w:sz w:val="24"/>
          <w:szCs w:val="22"/>
        </w:rPr>
        <w:t>5）</w:t>
      </w:r>
      <w:r>
        <w:rPr>
          <w:rFonts w:hint="eastAsia" w:ascii="Noto Sans Mono CJK JP Regular" w:hAnsi="Noto Sans Mono CJK JP Regular" w:eastAsia="华文细黑" w:cs="Noto Sans Mono CJK JP Regular"/>
          <w:kern w:val="0"/>
          <w:sz w:val="24"/>
          <w:szCs w:val="22"/>
        </w:rPr>
        <w:t>职业素养规范。包含安全文明生产、操作规范、工量具的使用等。</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2.竞赛方式</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采用现场实际操作方式。</w:t>
      </w:r>
    </w:p>
    <w:p>
      <w:pPr>
        <w:spacing w:before="156" w:beforeLines="50" w:after="156" w:afterLines="50" w:line="360" w:lineRule="auto"/>
        <w:ind w:firstLine="602" w:firstLineChars="200"/>
        <w:rPr>
          <w:rFonts w:hint="eastAsia" w:ascii="黑体" w:hAnsi="黑体" w:eastAsia="黑体" w:cs="黑体"/>
          <w:b/>
          <w:bCs/>
          <w:sz w:val="30"/>
          <w:szCs w:val="30"/>
        </w:rPr>
      </w:pPr>
    </w:p>
    <w:p>
      <w:pPr>
        <w:spacing w:before="156" w:beforeLines="50" w:after="156" w:afterLines="50" w:line="360" w:lineRule="auto"/>
        <w:ind w:firstLine="602" w:firstLineChars="200"/>
        <w:rPr>
          <w:rFonts w:hint="eastAsia" w:ascii="黑体" w:hAnsi="黑体" w:eastAsia="黑体" w:cs="黑体"/>
          <w:b/>
          <w:bCs/>
          <w:sz w:val="30"/>
          <w:szCs w:val="30"/>
        </w:rPr>
      </w:pPr>
    </w:p>
    <w:p>
      <w:pPr>
        <w:spacing w:before="156" w:beforeLines="50" w:after="156" w:afterLines="50" w:line="360" w:lineRule="auto"/>
        <w:ind w:firstLine="602" w:firstLineChars="200"/>
        <w:rPr>
          <w:rFonts w:ascii="黑体" w:hAnsi="黑体" w:eastAsia="黑体" w:cs="黑体"/>
          <w:b/>
          <w:bCs/>
          <w:sz w:val="30"/>
          <w:szCs w:val="30"/>
        </w:rPr>
      </w:pPr>
      <w:r>
        <w:rPr>
          <w:rFonts w:hint="eastAsia" w:ascii="黑体" w:hAnsi="黑体" w:eastAsia="黑体" w:cs="黑体"/>
          <w:b/>
          <w:bCs/>
          <w:sz w:val="30"/>
          <w:szCs w:val="30"/>
        </w:rPr>
        <w:t>五、评判标准</w:t>
      </w:r>
    </w:p>
    <w:p>
      <w:pPr>
        <w:tabs>
          <w:tab w:val="left" w:pos="3240"/>
        </w:tabs>
        <w:spacing w:line="360" w:lineRule="auto"/>
        <w:ind w:firstLine="480" w:firstLineChars="200"/>
        <w:rPr>
          <w:rFonts w:ascii="仿宋" w:hAnsi="仿宋" w:eastAsia="仿宋"/>
          <w:b/>
          <w:bCs/>
          <w:sz w:val="24"/>
        </w:rPr>
      </w:pPr>
      <w:r>
        <w:rPr>
          <w:rFonts w:hint="eastAsia" w:ascii="Calibri" w:hAnsi="Calibri" w:eastAsia="华文细黑"/>
          <w:b/>
          <w:bCs/>
          <w:sz w:val="24"/>
        </w:rPr>
        <w:t>（一）评判标准的制订原则</w:t>
      </w:r>
    </w:p>
    <w:p>
      <w:pPr>
        <w:spacing w:line="360" w:lineRule="auto"/>
        <w:ind w:firstLine="480" w:firstLineChars="200"/>
        <w:rPr>
          <w:rFonts w:hint="eastAsia" w:ascii="Noto Sans Mono CJK JP Regular" w:hAnsi="Noto Sans Mono CJK JP Regular" w:eastAsia="华文细黑" w:cs="Noto Sans Mono CJK JP Regular"/>
          <w:kern w:val="0"/>
          <w:sz w:val="24"/>
          <w:szCs w:val="22"/>
          <w:highlight w:val="yellow"/>
        </w:rPr>
      </w:pPr>
      <w:r>
        <w:rPr>
          <w:rFonts w:hint="eastAsia" w:ascii="Noto Sans Mono CJK JP Regular" w:hAnsi="Noto Sans Mono CJK JP Regular" w:eastAsia="华文细黑" w:cs="Noto Sans Mono CJK JP Regular"/>
          <w:kern w:val="0"/>
          <w:sz w:val="24"/>
          <w:szCs w:val="22"/>
        </w:rPr>
        <w:t>参照《机床装调维修工》国家职业技能标准三级/高级工的相关标准、规范要求进行评判，全面评价参赛选手的职业能力，本着科学严谨、公正公平和可操作性强的原则制定评判标准。</w:t>
      </w:r>
    </w:p>
    <w:p>
      <w:pPr>
        <w:tabs>
          <w:tab w:val="left" w:pos="3240"/>
        </w:tabs>
        <w:spacing w:line="360" w:lineRule="auto"/>
        <w:ind w:firstLine="480" w:firstLineChars="200"/>
        <w:rPr>
          <w:rFonts w:ascii="仿宋" w:hAnsi="仿宋" w:eastAsia="仿宋"/>
          <w:b/>
          <w:bCs/>
          <w:sz w:val="24"/>
        </w:rPr>
      </w:pPr>
      <w:r>
        <w:rPr>
          <w:rFonts w:hint="eastAsia" w:ascii="Calibri" w:hAnsi="Calibri" w:eastAsia="华文细黑"/>
          <w:b/>
          <w:bCs/>
          <w:sz w:val="24"/>
        </w:rPr>
        <w:t>（二）实际操作比赛评判细则（评判指标）</w:t>
      </w:r>
    </w:p>
    <w:p>
      <w:pPr>
        <w:snapToGrid w:val="0"/>
        <w:spacing w:before="62" w:beforeLines="20" w:line="360" w:lineRule="auto"/>
        <w:ind w:firstLine="480" w:firstLineChars="200"/>
        <w:rPr>
          <w:rFonts w:ascii="仿宋" w:hAnsi="仿宋" w:eastAsia="仿宋"/>
          <w:sz w:val="24"/>
          <w:lang w:val="zh-CN"/>
        </w:rPr>
      </w:pPr>
      <w:r>
        <w:rPr>
          <w:rFonts w:hint="eastAsia" w:ascii="Noto Sans Mono CJK JP Regular" w:hAnsi="Noto Sans Mono CJK JP Regular" w:eastAsia="华文细黑" w:cs="Noto Sans Mono CJK JP Regular"/>
          <w:kern w:val="0"/>
          <w:sz w:val="24"/>
          <w:szCs w:val="22"/>
          <w:lang w:val="zh-CN"/>
        </w:rPr>
        <w:t>评判比例如表1所示。</w:t>
      </w:r>
    </w:p>
    <w:p>
      <w:pPr>
        <w:spacing w:line="360" w:lineRule="auto"/>
        <w:ind w:right="720"/>
        <w:jc w:val="center"/>
        <w:rPr>
          <w:rFonts w:ascii="Calibri" w:hAnsi="Calibri" w:eastAsia="华文细黑"/>
          <w:sz w:val="24"/>
          <w:lang w:val="zh-CN"/>
        </w:rPr>
      </w:pPr>
      <w:r>
        <w:rPr>
          <w:rFonts w:hint="eastAsia" w:ascii="Calibri" w:hAnsi="Calibri" w:eastAsia="华文细黑"/>
          <w:sz w:val="24"/>
          <w:lang w:val="zh-CN"/>
        </w:rPr>
        <w:t>表1.  评判指标</w:t>
      </w:r>
    </w:p>
    <w:tbl>
      <w:tblPr>
        <w:tblStyle w:val="13"/>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71"/>
        <w:gridCol w:w="1320"/>
        <w:gridCol w:w="3724"/>
        <w:gridCol w:w="11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jc w:val="center"/>
        </w:trPr>
        <w:tc>
          <w:tcPr>
            <w:tcW w:w="1391" w:type="pct"/>
            <w:vAlign w:val="center"/>
          </w:tcPr>
          <w:p>
            <w:pPr>
              <w:snapToGrid w:val="0"/>
              <w:spacing w:before="62" w:beforeLines="20" w:line="360" w:lineRule="auto"/>
              <w:jc w:val="center"/>
              <w:rPr>
                <w:rFonts w:hint="eastAsia" w:ascii="Noto Sans Mono CJK JP Regular" w:hAnsi="Noto Sans Mono CJK JP Regular" w:eastAsia="华文细黑" w:cs="Noto Sans Mono CJK JP Regular"/>
                <w:b/>
                <w:bCs/>
                <w:kern w:val="0"/>
                <w:szCs w:val="21"/>
                <w:lang w:val="zh-CN"/>
              </w:rPr>
            </w:pPr>
            <w:r>
              <w:rPr>
                <w:rFonts w:hint="eastAsia" w:ascii="Noto Sans Mono CJK JP Regular" w:hAnsi="Noto Sans Mono CJK JP Regular" w:eastAsia="华文细黑" w:cs="Noto Sans Mono CJK JP Regular"/>
                <w:b/>
                <w:bCs/>
                <w:kern w:val="0"/>
                <w:szCs w:val="21"/>
                <w:lang w:val="zh-CN"/>
              </w:rPr>
              <w:t>一级指标</w:t>
            </w:r>
          </w:p>
        </w:tc>
        <w:tc>
          <w:tcPr>
            <w:tcW w:w="774" w:type="pct"/>
            <w:vAlign w:val="center"/>
          </w:tcPr>
          <w:p>
            <w:pPr>
              <w:snapToGrid w:val="0"/>
              <w:spacing w:before="62" w:beforeLines="20" w:line="360" w:lineRule="auto"/>
              <w:jc w:val="center"/>
              <w:rPr>
                <w:rFonts w:hint="eastAsia" w:ascii="Noto Sans Mono CJK JP Regular" w:hAnsi="Noto Sans Mono CJK JP Regular" w:eastAsia="华文细黑" w:cs="Noto Sans Mono CJK JP Regular"/>
                <w:b/>
                <w:bCs/>
                <w:kern w:val="0"/>
                <w:szCs w:val="21"/>
                <w:lang w:val="zh-CN"/>
              </w:rPr>
            </w:pPr>
            <w:r>
              <w:rPr>
                <w:rFonts w:hint="eastAsia" w:ascii="Noto Sans Mono CJK JP Regular" w:hAnsi="Noto Sans Mono CJK JP Regular" w:eastAsia="华文细黑" w:cs="Noto Sans Mono CJK JP Regular"/>
                <w:b/>
                <w:bCs/>
                <w:kern w:val="0"/>
                <w:szCs w:val="21"/>
                <w:lang w:val="zh-CN"/>
              </w:rPr>
              <w:t>比例</w:t>
            </w:r>
          </w:p>
        </w:tc>
        <w:tc>
          <w:tcPr>
            <w:tcW w:w="2184" w:type="pct"/>
            <w:vAlign w:val="center"/>
          </w:tcPr>
          <w:p>
            <w:pPr>
              <w:snapToGrid w:val="0"/>
              <w:spacing w:before="62" w:beforeLines="20" w:line="360" w:lineRule="auto"/>
              <w:jc w:val="center"/>
              <w:rPr>
                <w:rFonts w:hint="eastAsia" w:ascii="Noto Sans Mono CJK JP Regular" w:hAnsi="Noto Sans Mono CJK JP Regular" w:eastAsia="华文细黑" w:cs="Noto Sans Mono CJK JP Regular"/>
                <w:b/>
                <w:bCs/>
                <w:kern w:val="0"/>
                <w:szCs w:val="21"/>
                <w:lang w:val="zh-CN"/>
              </w:rPr>
            </w:pPr>
            <w:r>
              <w:rPr>
                <w:rFonts w:hint="eastAsia" w:ascii="Noto Sans Mono CJK JP Regular" w:hAnsi="Noto Sans Mono CJK JP Regular" w:eastAsia="华文细黑" w:cs="Noto Sans Mono CJK JP Regular"/>
                <w:b/>
                <w:bCs/>
                <w:kern w:val="0"/>
                <w:szCs w:val="21"/>
                <w:lang w:val="zh-CN"/>
              </w:rPr>
              <w:t>二级指标</w:t>
            </w:r>
          </w:p>
        </w:tc>
        <w:tc>
          <w:tcPr>
            <w:tcW w:w="651" w:type="pct"/>
            <w:vAlign w:val="center"/>
          </w:tcPr>
          <w:p>
            <w:pPr>
              <w:snapToGrid w:val="0"/>
              <w:spacing w:before="62" w:beforeLines="20" w:line="360" w:lineRule="auto"/>
              <w:jc w:val="center"/>
              <w:rPr>
                <w:rFonts w:hint="eastAsia" w:ascii="Noto Sans Mono CJK JP Regular" w:hAnsi="Noto Sans Mono CJK JP Regular" w:eastAsia="华文细黑" w:cs="Noto Sans Mono CJK JP Regular"/>
                <w:b/>
                <w:bCs/>
                <w:kern w:val="0"/>
                <w:szCs w:val="21"/>
                <w:lang w:val="zh-CN"/>
              </w:rPr>
            </w:pPr>
            <w:r>
              <w:rPr>
                <w:rFonts w:hint="eastAsia" w:ascii="Noto Sans Mono CJK JP Regular" w:hAnsi="Noto Sans Mono CJK JP Regular" w:eastAsia="华文细黑" w:cs="Noto Sans Mono CJK JP Regular"/>
                <w:b/>
                <w:bCs/>
                <w:kern w:val="0"/>
                <w:szCs w:val="21"/>
                <w:lang w:val="zh-CN"/>
              </w:rPr>
              <w:t>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42" w:hRule="atLeast"/>
          <w:jc w:val="center"/>
        </w:trPr>
        <w:tc>
          <w:tcPr>
            <w:tcW w:w="1391" w:type="pct"/>
            <w:vMerge w:val="restart"/>
            <w:vAlign w:val="center"/>
          </w:tcPr>
          <w:p>
            <w:pPr>
              <w:pStyle w:val="4"/>
              <w:rPr>
                <w:rFonts w:hint="eastAsia" w:ascii="Noto Sans Mono CJK JP Regular" w:hAnsi="Noto Sans Mono CJK JP Regular" w:eastAsia="华文细黑" w:cs="Noto Sans Mono CJK JP Regular"/>
                <w:kern w:val="0"/>
                <w:szCs w:val="21"/>
                <w:lang w:val="zh-CN"/>
              </w:rPr>
            </w:pPr>
            <w:r>
              <w:rPr>
                <w:rFonts w:hint="eastAsia" w:ascii="Noto Sans Mono CJK JP Regular" w:hAnsi="Noto Sans Mono CJK JP Regular" w:eastAsia="华文细黑" w:cs="Noto Sans Mono CJK JP Regular"/>
                <w:kern w:val="0"/>
                <w:szCs w:val="21"/>
                <w:lang w:val="zh-CN"/>
              </w:rPr>
              <w:t>模块一、数控机床电气智能化改造与维修</w:t>
            </w:r>
          </w:p>
        </w:tc>
        <w:tc>
          <w:tcPr>
            <w:tcW w:w="774" w:type="pct"/>
            <w:vMerge w:val="restart"/>
            <w:vAlign w:val="center"/>
          </w:tcPr>
          <w:p>
            <w:pPr>
              <w:pStyle w:val="4"/>
              <w:rPr>
                <w:rFonts w:hint="eastAsia" w:ascii="Noto Sans Mono CJK JP Regular" w:hAnsi="Noto Sans Mono CJK JP Regular" w:eastAsia="华文细黑" w:cs="Noto Sans Mono CJK JP Regular"/>
                <w:kern w:val="0"/>
                <w:szCs w:val="21"/>
                <w:lang w:val="zh-CN"/>
              </w:rPr>
            </w:pPr>
            <w:r>
              <w:rPr>
                <w:rFonts w:hint="eastAsia" w:ascii="Noto Sans Mono CJK JP Regular" w:hAnsi="Noto Sans Mono CJK JP Regular" w:eastAsia="华文细黑" w:cs="Noto Sans Mono CJK JP Regular"/>
                <w:kern w:val="0"/>
                <w:szCs w:val="21"/>
              </w:rPr>
              <w:t>50</w:t>
            </w:r>
            <w:r>
              <w:rPr>
                <w:rFonts w:hint="eastAsia" w:ascii="Noto Sans Mono CJK JP Regular" w:hAnsi="Noto Sans Mono CJK JP Regular" w:eastAsia="华文细黑" w:cs="Noto Sans Mono CJK JP Regular"/>
                <w:kern w:val="0"/>
                <w:szCs w:val="21"/>
                <w:lang w:val="zh-CN"/>
              </w:rPr>
              <w:t>%</w:t>
            </w:r>
          </w:p>
        </w:tc>
        <w:tc>
          <w:tcPr>
            <w:tcW w:w="2184" w:type="pct"/>
            <w:vAlign w:val="center"/>
          </w:tcPr>
          <w:p>
            <w:pPr>
              <w:pStyle w:val="4"/>
              <w:rPr>
                <w:rFonts w:hint="eastAsia" w:ascii="Noto Sans Mono CJK JP Regular" w:hAnsi="Noto Sans Mono CJK JP Regular" w:eastAsia="华文细黑" w:cs="Noto Sans Mono CJK JP Regular"/>
                <w:kern w:val="0"/>
                <w:szCs w:val="21"/>
                <w:lang w:val="zh-CN"/>
              </w:rPr>
            </w:pPr>
            <w:r>
              <w:rPr>
                <w:rFonts w:hint="eastAsia" w:ascii="Noto Sans Mono CJK JP Regular" w:hAnsi="Noto Sans Mono CJK JP Regular" w:eastAsia="华文细黑" w:cs="Noto Sans Mono CJK JP Regular"/>
                <w:kern w:val="0"/>
                <w:szCs w:val="21"/>
              </w:rPr>
              <w:t>数控机床电气智能化系统的升级改造</w:t>
            </w:r>
          </w:p>
        </w:tc>
        <w:tc>
          <w:tcPr>
            <w:tcW w:w="651" w:type="pct"/>
            <w:vAlign w:val="center"/>
          </w:tcPr>
          <w:p>
            <w:pPr>
              <w:pStyle w:val="4"/>
              <w:rPr>
                <w:rFonts w:hint="eastAsia" w:ascii="Noto Sans Mono CJK JP Regular" w:hAnsi="Noto Sans Mono CJK JP Regular" w:eastAsia="华文细黑" w:cs="Noto Sans Mono CJK JP Regular"/>
                <w:kern w:val="0"/>
                <w:szCs w:val="21"/>
                <w:lang w:val="zh-CN"/>
              </w:rPr>
            </w:pPr>
            <w:r>
              <w:rPr>
                <w:rFonts w:ascii="Noto Sans Mono CJK JP Regular" w:hAnsi="Noto Sans Mono CJK JP Regular" w:eastAsia="华文细黑" w:cs="Noto Sans Mono CJK JP Regular"/>
                <w:kern w:val="0"/>
                <w:szCs w:val="21"/>
                <w:lang w:val="zh-CN"/>
              </w:rPr>
              <w:t>20</w:t>
            </w:r>
            <w:r>
              <w:rPr>
                <w:rFonts w:hint="eastAsia" w:ascii="Noto Sans Mono CJK JP Regular" w:hAnsi="Noto Sans Mono CJK JP Regular" w:eastAsia="华文细黑" w:cs="Noto Sans Mono CJK JP Regular"/>
                <w:kern w:val="0"/>
                <w:szCs w:val="21"/>
                <w:lang w:val="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22" w:hRule="atLeast"/>
          <w:jc w:val="center"/>
        </w:trPr>
        <w:tc>
          <w:tcPr>
            <w:tcW w:w="1391" w:type="pct"/>
            <w:vMerge w:val="continue"/>
            <w:vAlign w:val="center"/>
          </w:tcPr>
          <w:p>
            <w:pPr>
              <w:pStyle w:val="4"/>
              <w:rPr>
                <w:rFonts w:hint="eastAsia" w:ascii="Noto Sans Mono CJK JP Regular" w:hAnsi="Noto Sans Mono CJK JP Regular" w:eastAsia="华文细黑" w:cs="Noto Sans Mono CJK JP Regular"/>
                <w:kern w:val="0"/>
                <w:szCs w:val="21"/>
                <w:lang w:val="zh-CN"/>
              </w:rPr>
            </w:pPr>
          </w:p>
        </w:tc>
        <w:tc>
          <w:tcPr>
            <w:tcW w:w="774" w:type="pct"/>
            <w:vMerge w:val="continue"/>
            <w:vAlign w:val="center"/>
          </w:tcPr>
          <w:p>
            <w:pPr>
              <w:pStyle w:val="4"/>
              <w:rPr>
                <w:rFonts w:hint="eastAsia" w:ascii="Noto Sans Mono CJK JP Regular" w:hAnsi="Noto Sans Mono CJK JP Regular" w:eastAsia="华文细黑" w:cs="Noto Sans Mono CJK JP Regular"/>
                <w:kern w:val="0"/>
                <w:szCs w:val="21"/>
                <w:lang w:val="zh-CN"/>
              </w:rPr>
            </w:pPr>
          </w:p>
        </w:tc>
        <w:tc>
          <w:tcPr>
            <w:tcW w:w="2184" w:type="pct"/>
            <w:vAlign w:val="center"/>
          </w:tcPr>
          <w:p>
            <w:pPr>
              <w:pStyle w:val="4"/>
              <w:rPr>
                <w:rFonts w:hint="eastAsia" w:ascii="Noto Sans Mono CJK JP Regular" w:hAnsi="Noto Sans Mono CJK JP Regular" w:eastAsia="华文细黑" w:cs="Noto Sans Mono CJK JP Regular"/>
                <w:kern w:val="0"/>
                <w:szCs w:val="21"/>
                <w:lang w:val="zh-CN"/>
              </w:rPr>
            </w:pPr>
            <w:r>
              <w:rPr>
                <w:rFonts w:hint="eastAsia" w:ascii="Noto Sans Mono CJK JP Regular" w:hAnsi="Noto Sans Mono CJK JP Regular" w:eastAsia="华文细黑" w:cs="Noto Sans Mono CJK JP Regular"/>
                <w:kern w:val="0"/>
                <w:szCs w:val="21"/>
              </w:rPr>
              <w:t>机床数控系统参数配置、整机功能编程及调试</w:t>
            </w:r>
          </w:p>
        </w:tc>
        <w:tc>
          <w:tcPr>
            <w:tcW w:w="651" w:type="pct"/>
            <w:vAlign w:val="center"/>
          </w:tcPr>
          <w:p>
            <w:pPr>
              <w:pStyle w:val="4"/>
              <w:rPr>
                <w:rFonts w:hint="eastAsia" w:ascii="Noto Sans Mono CJK JP Regular" w:hAnsi="Noto Sans Mono CJK JP Regular" w:eastAsia="华文细黑" w:cs="Noto Sans Mono CJK JP Regular"/>
                <w:kern w:val="0"/>
                <w:szCs w:val="21"/>
                <w:lang w:val="zh-CN"/>
              </w:rPr>
            </w:pPr>
            <w:r>
              <w:rPr>
                <w:rFonts w:hint="eastAsia" w:ascii="Noto Sans Mono CJK JP Regular" w:hAnsi="Noto Sans Mono CJK JP Regular" w:eastAsia="华文细黑" w:cs="Noto Sans Mono CJK JP Regular"/>
                <w:kern w:val="0"/>
                <w:szCs w:val="21"/>
              </w:rPr>
              <w:t>15</w:t>
            </w:r>
            <w:r>
              <w:rPr>
                <w:rFonts w:hint="eastAsia" w:ascii="Noto Sans Mono CJK JP Regular" w:hAnsi="Noto Sans Mono CJK JP Regular" w:eastAsia="华文细黑" w:cs="Noto Sans Mono CJK JP Regular"/>
                <w:kern w:val="0"/>
                <w:szCs w:val="21"/>
                <w:lang w:val="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22" w:hRule="atLeast"/>
          <w:jc w:val="center"/>
        </w:trPr>
        <w:tc>
          <w:tcPr>
            <w:tcW w:w="1391" w:type="pct"/>
            <w:vMerge w:val="continue"/>
            <w:vAlign w:val="center"/>
          </w:tcPr>
          <w:p>
            <w:pPr>
              <w:pStyle w:val="4"/>
              <w:rPr>
                <w:rFonts w:hint="eastAsia" w:ascii="Noto Sans Mono CJK JP Regular" w:hAnsi="Noto Sans Mono CJK JP Regular" w:eastAsia="华文细黑" w:cs="Noto Sans Mono CJK JP Regular"/>
                <w:kern w:val="0"/>
                <w:szCs w:val="21"/>
                <w:lang w:val="zh-CN"/>
              </w:rPr>
            </w:pPr>
          </w:p>
        </w:tc>
        <w:tc>
          <w:tcPr>
            <w:tcW w:w="774" w:type="pct"/>
            <w:vMerge w:val="continue"/>
            <w:vAlign w:val="center"/>
          </w:tcPr>
          <w:p>
            <w:pPr>
              <w:pStyle w:val="4"/>
              <w:rPr>
                <w:rFonts w:hint="eastAsia" w:ascii="Noto Sans Mono CJK JP Regular" w:hAnsi="Noto Sans Mono CJK JP Regular" w:eastAsia="华文细黑" w:cs="Noto Sans Mono CJK JP Regular"/>
                <w:kern w:val="0"/>
                <w:szCs w:val="21"/>
                <w:lang w:val="zh-CN"/>
              </w:rPr>
            </w:pPr>
          </w:p>
        </w:tc>
        <w:tc>
          <w:tcPr>
            <w:tcW w:w="2184" w:type="pct"/>
            <w:vAlign w:val="center"/>
          </w:tcPr>
          <w:p>
            <w:pPr>
              <w:pStyle w:val="4"/>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机床电气故障排除</w:t>
            </w:r>
          </w:p>
        </w:tc>
        <w:tc>
          <w:tcPr>
            <w:tcW w:w="651" w:type="pct"/>
            <w:vAlign w:val="center"/>
          </w:tcPr>
          <w:p>
            <w:pPr>
              <w:pStyle w:val="4"/>
              <w:rPr>
                <w:rFonts w:hint="eastAsia" w:ascii="Noto Sans Mono CJK JP Regular" w:hAnsi="Noto Sans Mono CJK JP Regular" w:eastAsia="华文细黑" w:cs="Noto Sans Mono CJK JP Regular"/>
                <w:kern w:val="0"/>
                <w:szCs w:val="21"/>
                <w:lang w:val="zh-CN"/>
              </w:rPr>
            </w:pPr>
            <w:r>
              <w:rPr>
                <w:rFonts w:ascii="Noto Sans Mono CJK JP Regular" w:hAnsi="Noto Sans Mono CJK JP Regular" w:eastAsia="华文细黑" w:cs="Noto Sans Mono CJK JP Regular"/>
                <w:kern w:val="0"/>
                <w:szCs w:val="21"/>
              </w:rPr>
              <w:t>15</w:t>
            </w:r>
            <w:r>
              <w:rPr>
                <w:rFonts w:hint="eastAsia" w:ascii="Noto Sans Mono CJK JP Regular" w:hAnsi="Noto Sans Mono CJK JP Regular" w:eastAsia="华文细黑" w:cs="Noto Sans Mono CJK JP Regular"/>
                <w:kern w:val="0"/>
                <w:szCs w:val="21"/>
                <w:lang w:val="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80" w:hRule="atLeast"/>
          <w:jc w:val="center"/>
        </w:trPr>
        <w:tc>
          <w:tcPr>
            <w:tcW w:w="1391" w:type="pct"/>
            <w:vMerge w:val="restart"/>
            <w:vAlign w:val="center"/>
          </w:tcPr>
          <w:p>
            <w:pPr>
              <w:pStyle w:val="4"/>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lang w:val="zh-CN"/>
              </w:rPr>
              <w:t>模块二、机床机械系统的装调与维修</w:t>
            </w:r>
          </w:p>
        </w:tc>
        <w:tc>
          <w:tcPr>
            <w:tcW w:w="774" w:type="pct"/>
            <w:vMerge w:val="restart"/>
            <w:vAlign w:val="center"/>
          </w:tcPr>
          <w:p>
            <w:pPr>
              <w:pStyle w:val="4"/>
              <w:rPr>
                <w:rFonts w:hint="eastAsia" w:ascii="Noto Sans Mono CJK JP Regular" w:hAnsi="Noto Sans Mono CJK JP Regular" w:eastAsia="华文细黑" w:cs="Noto Sans Mono CJK JP Regular"/>
                <w:kern w:val="0"/>
                <w:szCs w:val="21"/>
                <w:lang w:val="zh-CN"/>
              </w:rPr>
            </w:pPr>
            <w:r>
              <w:rPr>
                <w:rFonts w:hint="eastAsia" w:ascii="Noto Sans Mono CJK JP Regular" w:hAnsi="Noto Sans Mono CJK JP Regular" w:eastAsia="华文细黑" w:cs="Noto Sans Mono CJK JP Regular"/>
                <w:kern w:val="0"/>
                <w:szCs w:val="21"/>
              </w:rPr>
              <w:t>50</w:t>
            </w:r>
            <w:r>
              <w:rPr>
                <w:rFonts w:hint="eastAsia" w:ascii="Noto Sans Mono CJK JP Regular" w:hAnsi="Noto Sans Mono CJK JP Regular" w:eastAsia="华文细黑" w:cs="Noto Sans Mono CJK JP Regular"/>
                <w:kern w:val="0"/>
                <w:szCs w:val="21"/>
                <w:lang w:val="zh-CN"/>
              </w:rPr>
              <w:t>%</w:t>
            </w:r>
          </w:p>
        </w:tc>
        <w:tc>
          <w:tcPr>
            <w:tcW w:w="2184" w:type="pct"/>
            <w:vAlign w:val="center"/>
          </w:tcPr>
          <w:p>
            <w:pPr>
              <w:pStyle w:val="4"/>
              <w:rPr>
                <w:rFonts w:hint="eastAsia" w:ascii="Noto Sans Mono CJK JP Regular" w:hAnsi="Noto Sans Mono CJK JP Regular" w:eastAsia="华文细黑" w:cs="Noto Sans Mono CJK JP Regular"/>
                <w:kern w:val="0"/>
                <w:szCs w:val="21"/>
                <w:lang w:val="zh-CN"/>
              </w:rPr>
            </w:pPr>
            <w:r>
              <w:rPr>
                <w:rFonts w:hint="eastAsia" w:ascii="Noto Sans Mono CJK JP Regular" w:hAnsi="Noto Sans Mono CJK JP Regular" w:eastAsia="华文细黑" w:cs="Noto Sans Mono CJK JP Regular"/>
                <w:kern w:val="0"/>
                <w:szCs w:val="21"/>
                <w:lang w:val="zh-CN"/>
              </w:rPr>
              <w:t>机床机械部分精细装调</w:t>
            </w:r>
          </w:p>
        </w:tc>
        <w:tc>
          <w:tcPr>
            <w:tcW w:w="651" w:type="pct"/>
            <w:vAlign w:val="center"/>
          </w:tcPr>
          <w:p>
            <w:pPr>
              <w:pStyle w:val="4"/>
              <w:rPr>
                <w:rFonts w:hint="eastAsia" w:ascii="Noto Sans Mono CJK JP Regular" w:hAnsi="Noto Sans Mono CJK JP Regular" w:eastAsia="华文细黑" w:cs="Noto Sans Mono CJK JP Regular"/>
                <w:kern w:val="0"/>
                <w:szCs w:val="21"/>
              </w:rPr>
            </w:pPr>
            <w:r>
              <w:rPr>
                <w:rFonts w:ascii="Noto Sans Mono CJK JP Regular" w:hAnsi="Noto Sans Mono CJK JP Regular" w:eastAsia="华文细黑" w:cs="Noto Sans Mono CJK JP Regular"/>
                <w:kern w:val="0"/>
                <w:szCs w:val="21"/>
              </w:rPr>
              <w:t>25</w:t>
            </w:r>
            <w:r>
              <w:rPr>
                <w:rFonts w:hint="eastAsia" w:ascii="Noto Sans Mono CJK JP Regular" w:hAnsi="Noto Sans Mono CJK JP Regular" w:eastAsia="华文细黑" w:cs="Noto Sans Mono CJK JP Regular"/>
                <w:kern w:val="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80" w:hRule="atLeast"/>
          <w:jc w:val="center"/>
        </w:trPr>
        <w:tc>
          <w:tcPr>
            <w:tcW w:w="1391" w:type="pct"/>
            <w:vMerge w:val="continue"/>
            <w:vAlign w:val="center"/>
          </w:tcPr>
          <w:p>
            <w:pPr>
              <w:pStyle w:val="4"/>
              <w:rPr>
                <w:rFonts w:hint="eastAsia" w:ascii="Noto Sans Mono CJK JP Regular" w:hAnsi="Noto Sans Mono CJK JP Regular" w:eastAsia="华文细黑" w:cs="Noto Sans Mono CJK JP Regular"/>
                <w:kern w:val="0"/>
                <w:szCs w:val="21"/>
                <w:lang w:val="zh-CN"/>
              </w:rPr>
            </w:pPr>
          </w:p>
        </w:tc>
        <w:tc>
          <w:tcPr>
            <w:tcW w:w="774" w:type="pct"/>
            <w:vMerge w:val="continue"/>
            <w:vAlign w:val="center"/>
          </w:tcPr>
          <w:p>
            <w:pPr>
              <w:pStyle w:val="4"/>
              <w:rPr>
                <w:rFonts w:hint="eastAsia" w:ascii="Noto Sans Mono CJK JP Regular" w:hAnsi="Noto Sans Mono CJK JP Regular" w:eastAsia="华文细黑" w:cs="Noto Sans Mono CJK JP Regular"/>
                <w:kern w:val="0"/>
                <w:szCs w:val="21"/>
              </w:rPr>
            </w:pPr>
          </w:p>
        </w:tc>
        <w:tc>
          <w:tcPr>
            <w:tcW w:w="2184" w:type="pct"/>
            <w:vAlign w:val="center"/>
          </w:tcPr>
          <w:p>
            <w:pPr>
              <w:pStyle w:val="4"/>
              <w:rPr>
                <w:rFonts w:hint="eastAsia" w:ascii="Noto Sans Mono CJK JP Regular" w:hAnsi="Noto Sans Mono CJK JP Regular" w:eastAsia="华文细黑" w:cs="Noto Sans Mono CJK JP Regular"/>
                <w:kern w:val="0"/>
                <w:szCs w:val="21"/>
                <w:lang w:val="zh-CN"/>
              </w:rPr>
            </w:pPr>
            <w:r>
              <w:rPr>
                <w:rFonts w:hint="eastAsia" w:ascii="Noto Sans Mono CJK JP Regular" w:hAnsi="Noto Sans Mono CJK JP Regular" w:eastAsia="华文细黑" w:cs="Noto Sans Mono CJK JP Regular"/>
                <w:kern w:val="0"/>
                <w:szCs w:val="21"/>
                <w:lang w:val="zh-CN"/>
              </w:rPr>
              <w:t>机械零件、部件及试运行前的检测，并排除故障</w:t>
            </w:r>
          </w:p>
        </w:tc>
        <w:tc>
          <w:tcPr>
            <w:tcW w:w="651" w:type="pct"/>
            <w:vAlign w:val="center"/>
          </w:tcPr>
          <w:p>
            <w:pPr>
              <w:pStyle w:val="4"/>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80" w:hRule="atLeast"/>
          <w:jc w:val="center"/>
        </w:trPr>
        <w:tc>
          <w:tcPr>
            <w:tcW w:w="1391" w:type="pct"/>
            <w:vMerge w:val="continue"/>
            <w:vAlign w:val="center"/>
          </w:tcPr>
          <w:p>
            <w:pPr>
              <w:pStyle w:val="4"/>
              <w:rPr>
                <w:rFonts w:hint="eastAsia" w:ascii="Noto Sans Mono CJK JP Regular" w:hAnsi="Noto Sans Mono CJK JP Regular" w:eastAsia="华文细黑" w:cs="Noto Sans Mono CJK JP Regular"/>
                <w:kern w:val="0"/>
                <w:szCs w:val="21"/>
                <w:lang w:val="zh-CN"/>
              </w:rPr>
            </w:pPr>
          </w:p>
        </w:tc>
        <w:tc>
          <w:tcPr>
            <w:tcW w:w="774" w:type="pct"/>
            <w:vMerge w:val="continue"/>
            <w:vAlign w:val="center"/>
          </w:tcPr>
          <w:p>
            <w:pPr>
              <w:pStyle w:val="4"/>
              <w:rPr>
                <w:rFonts w:hint="eastAsia" w:ascii="Noto Sans Mono CJK JP Regular" w:hAnsi="Noto Sans Mono CJK JP Regular" w:eastAsia="华文细黑" w:cs="Noto Sans Mono CJK JP Regular"/>
                <w:kern w:val="0"/>
                <w:szCs w:val="21"/>
                <w:lang w:val="zh-CN"/>
              </w:rPr>
            </w:pPr>
          </w:p>
        </w:tc>
        <w:tc>
          <w:tcPr>
            <w:tcW w:w="2184" w:type="pct"/>
            <w:vAlign w:val="center"/>
          </w:tcPr>
          <w:p>
            <w:pPr>
              <w:pStyle w:val="4"/>
              <w:rPr>
                <w:rFonts w:hint="eastAsia" w:ascii="Noto Sans Mono CJK JP Regular" w:hAnsi="Noto Sans Mono CJK JP Regular" w:eastAsia="华文细黑" w:cs="Noto Sans Mono CJK JP Regular"/>
                <w:kern w:val="0"/>
                <w:szCs w:val="21"/>
                <w:lang w:val="zh-CN"/>
              </w:rPr>
            </w:pPr>
            <w:r>
              <w:rPr>
                <w:rFonts w:hint="eastAsia" w:ascii="Noto Sans Mono CJK JP Regular" w:hAnsi="Noto Sans Mono CJK JP Regular" w:eastAsia="华文细黑" w:cs="Noto Sans Mono CJK JP Regular"/>
                <w:kern w:val="0"/>
                <w:szCs w:val="21"/>
                <w:lang w:val="zh-CN"/>
              </w:rPr>
              <w:t>系统</w:t>
            </w:r>
            <w:r>
              <w:rPr>
                <w:rFonts w:hint="eastAsia" w:ascii="Noto Sans Mono CJK JP Regular" w:hAnsi="Noto Sans Mono CJK JP Regular" w:eastAsia="华文细黑" w:cs="Noto Sans Mono CJK JP Regular"/>
                <w:kern w:val="0"/>
                <w:szCs w:val="21"/>
              </w:rPr>
              <w:t>调试运行，</w:t>
            </w:r>
            <w:r>
              <w:rPr>
                <w:rFonts w:hint="eastAsia" w:ascii="Noto Sans Mono CJK JP Regular" w:hAnsi="Noto Sans Mono CJK JP Regular" w:eastAsia="华文细黑" w:cs="Noto Sans Mono CJK JP Regular"/>
                <w:kern w:val="0"/>
                <w:szCs w:val="21"/>
                <w:lang w:val="zh-CN"/>
              </w:rPr>
              <w:t>试车与零件加工</w:t>
            </w:r>
          </w:p>
        </w:tc>
        <w:tc>
          <w:tcPr>
            <w:tcW w:w="651" w:type="pct"/>
            <w:vAlign w:val="center"/>
          </w:tcPr>
          <w:p>
            <w:pPr>
              <w:pStyle w:val="4"/>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80" w:hRule="atLeast"/>
          <w:jc w:val="center"/>
        </w:trPr>
        <w:tc>
          <w:tcPr>
            <w:tcW w:w="1391" w:type="pct"/>
            <w:vAlign w:val="center"/>
          </w:tcPr>
          <w:p>
            <w:pPr>
              <w:pStyle w:val="4"/>
              <w:rPr>
                <w:rFonts w:hint="eastAsia" w:ascii="Noto Sans Mono CJK JP Regular" w:hAnsi="Noto Sans Mono CJK JP Regular" w:eastAsia="华文细黑" w:cs="Noto Sans Mono CJK JP Regular"/>
                <w:kern w:val="0"/>
                <w:szCs w:val="21"/>
                <w:lang w:val="zh-CN"/>
              </w:rPr>
            </w:pPr>
            <w:r>
              <w:rPr>
                <w:rFonts w:hint="eastAsia" w:ascii="Noto Sans Mono CJK JP Regular" w:hAnsi="Noto Sans Mono CJK JP Regular" w:eastAsia="华文细黑" w:cs="Noto Sans Mono CJK JP Regular"/>
                <w:kern w:val="0"/>
                <w:szCs w:val="21"/>
                <w:lang w:val="zh-CN"/>
              </w:rPr>
              <w:t>总分</w:t>
            </w:r>
          </w:p>
        </w:tc>
        <w:tc>
          <w:tcPr>
            <w:tcW w:w="3609" w:type="pct"/>
            <w:gridSpan w:val="3"/>
            <w:vAlign w:val="center"/>
          </w:tcPr>
          <w:p>
            <w:pPr>
              <w:pStyle w:val="4"/>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100%</w:t>
            </w:r>
          </w:p>
        </w:tc>
      </w:tr>
    </w:tbl>
    <w:p>
      <w:pPr>
        <w:spacing w:before="156" w:beforeLines="50" w:line="360" w:lineRule="auto"/>
        <w:ind w:left="424" w:hanging="424" w:hangingChars="202"/>
        <w:rPr>
          <w:rFonts w:hint="eastAsia" w:ascii="Noto Sans Mono CJK JP Regular" w:hAnsi="Noto Sans Mono CJK JP Regular" w:eastAsia="华文细黑" w:cs="Noto Sans Mono CJK JP Regular"/>
          <w:kern w:val="0"/>
          <w:szCs w:val="21"/>
          <w:lang w:val="zh-CN"/>
        </w:rPr>
      </w:pPr>
      <w:r>
        <w:rPr>
          <w:rFonts w:hint="eastAsia" w:ascii="Noto Sans Mono CJK JP Regular" w:hAnsi="Noto Sans Mono CJK JP Regular" w:eastAsia="华文细黑" w:cs="Noto Sans Mono CJK JP Regular"/>
          <w:kern w:val="0"/>
          <w:szCs w:val="21"/>
          <w:lang w:val="zh-CN"/>
        </w:rPr>
        <w:t>注：1. 职业素养部分不具体配分，但在工作过程中违反有关规定从参赛选手实际操作竞赛总得分中扣除分，严重违规者</w:t>
      </w:r>
      <w:r>
        <w:rPr>
          <w:rFonts w:hint="eastAsia" w:ascii="Noto Sans Mono CJK JP Regular" w:hAnsi="Noto Sans Mono CJK JP Regular" w:eastAsia="华文细黑" w:cs="Noto Sans Mono CJK JP Regular"/>
          <w:kern w:val="0"/>
          <w:szCs w:val="21"/>
        </w:rPr>
        <w:t>直接</w:t>
      </w:r>
      <w:r>
        <w:rPr>
          <w:rFonts w:hint="eastAsia" w:ascii="Noto Sans Mono CJK JP Regular" w:hAnsi="Noto Sans Mono CJK JP Regular" w:eastAsia="华文细黑" w:cs="Noto Sans Mono CJK JP Regular"/>
          <w:kern w:val="0"/>
          <w:szCs w:val="21"/>
          <w:lang w:val="zh-CN"/>
        </w:rPr>
        <w:t>停止比赛，并取消本竞赛模块分数。</w:t>
      </w:r>
    </w:p>
    <w:p>
      <w:pPr>
        <w:spacing w:line="360" w:lineRule="auto"/>
        <w:ind w:firstLine="420" w:firstLineChars="200"/>
        <w:rPr>
          <w:rFonts w:ascii="仿宋" w:hAnsi="仿宋" w:eastAsia="仿宋"/>
          <w:szCs w:val="21"/>
          <w:lang w:val="zh-CN"/>
        </w:rPr>
      </w:pPr>
      <w:r>
        <w:rPr>
          <w:rFonts w:hint="eastAsia" w:ascii="Noto Sans Mono CJK JP Regular" w:hAnsi="Noto Sans Mono CJK JP Regular" w:eastAsia="华文细黑" w:cs="Noto Sans Mono CJK JP Regular"/>
          <w:kern w:val="0"/>
          <w:szCs w:val="21"/>
        </w:rPr>
        <w:t>2.</w:t>
      </w:r>
      <w:r>
        <w:rPr>
          <w:rFonts w:hint="eastAsia" w:ascii="Noto Sans Mono CJK JP Regular" w:hAnsi="Noto Sans Mono CJK JP Regular" w:eastAsia="华文细黑" w:cs="Noto Sans Mono CJK JP Regular"/>
          <w:kern w:val="0"/>
          <w:szCs w:val="21"/>
          <w:lang w:val="zh-CN"/>
        </w:rPr>
        <w:t xml:space="preserve"> 实际竞赛过程中各指标所占比例可能有所微调。</w:t>
      </w:r>
    </w:p>
    <w:p>
      <w:pPr>
        <w:tabs>
          <w:tab w:val="left" w:pos="3240"/>
        </w:tabs>
        <w:spacing w:line="360" w:lineRule="auto"/>
        <w:ind w:firstLine="480" w:firstLineChars="200"/>
        <w:rPr>
          <w:rFonts w:ascii="仿宋" w:hAnsi="仿宋" w:eastAsia="仿宋"/>
          <w:b/>
          <w:bCs/>
          <w:sz w:val="24"/>
        </w:rPr>
      </w:pPr>
      <w:r>
        <w:rPr>
          <w:rFonts w:hint="eastAsia" w:ascii="Calibri" w:hAnsi="Calibri" w:eastAsia="华文细黑"/>
          <w:b/>
          <w:bCs/>
          <w:sz w:val="24"/>
        </w:rPr>
        <w:t>（三）裁判分工</w:t>
      </w:r>
    </w:p>
    <w:p>
      <w:pPr>
        <w:tabs>
          <w:tab w:val="left" w:pos="3240"/>
        </w:tabs>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ascii="Noto Sans Mono CJK JP Regular" w:hAnsi="Noto Sans Mono CJK JP Regular" w:eastAsia="华文细黑" w:cs="Noto Sans Mono CJK JP Regular"/>
          <w:kern w:val="0"/>
          <w:sz w:val="24"/>
          <w:szCs w:val="22"/>
        </w:rPr>
        <w:t>裁判分为现场与评分两类。</w:t>
      </w:r>
      <w:r>
        <w:rPr>
          <w:rFonts w:hint="eastAsia" w:ascii="Noto Sans Mono CJK JP Regular" w:hAnsi="Noto Sans Mono CJK JP Regular" w:eastAsia="华文细黑" w:cs="Noto Sans Mono CJK JP Regular"/>
          <w:kern w:val="0"/>
          <w:sz w:val="24"/>
          <w:szCs w:val="22"/>
        </w:rPr>
        <w:t>赛前进行抽签分组</w:t>
      </w:r>
      <w:r>
        <w:rPr>
          <w:rFonts w:ascii="Noto Sans Mono CJK JP Regular" w:hAnsi="Noto Sans Mono CJK JP Regular" w:eastAsia="华文细黑" w:cs="Noto Sans Mono CJK JP Regular"/>
          <w:kern w:val="0"/>
          <w:sz w:val="24"/>
          <w:szCs w:val="22"/>
        </w:rPr>
        <w:t>，</w:t>
      </w:r>
      <w:r>
        <w:rPr>
          <w:rFonts w:hint="eastAsia" w:ascii="Noto Sans Mono CJK JP Regular" w:hAnsi="Noto Sans Mono CJK JP Regular" w:eastAsia="华文细黑" w:cs="Noto Sans Mono CJK JP Regular"/>
          <w:kern w:val="0"/>
          <w:sz w:val="24"/>
          <w:szCs w:val="22"/>
        </w:rPr>
        <w:t>比赛</w:t>
      </w:r>
      <w:r>
        <w:rPr>
          <w:rFonts w:ascii="Noto Sans Mono CJK JP Regular" w:hAnsi="Noto Sans Mono CJK JP Regular" w:eastAsia="华文细黑" w:cs="Noto Sans Mono CJK JP Regular"/>
          <w:kern w:val="0"/>
          <w:sz w:val="24"/>
          <w:szCs w:val="22"/>
        </w:rPr>
        <w:t>期间，两类裁判岗位职责保持固定、不作调整；仅在</w:t>
      </w:r>
      <w:r>
        <w:rPr>
          <w:rFonts w:hint="eastAsia" w:ascii="Noto Sans Mono CJK JP Regular" w:hAnsi="Noto Sans Mono CJK JP Regular" w:eastAsia="华文细黑" w:cs="Noto Sans Mono CJK JP Regular"/>
          <w:kern w:val="0"/>
          <w:sz w:val="24"/>
          <w:szCs w:val="22"/>
        </w:rPr>
        <w:t>选手</w:t>
      </w:r>
      <w:r>
        <w:rPr>
          <w:rFonts w:ascii="Noto Sans Mono CJK JP Regular" w:hAnsi="Noto Sans Mono CJK JP Regular" w:eastAsia="华文细黑" w:cs="Noto Sans Mono CJK JP Regular"/>
          <w:kern w:val="0"/>
          <w:sz w:val="24"/>
          <w:szCs w:val="22"/>
        </w:rPr>
        <w:t>组别轮换时，</w:t>
      </w:r>
      <w:r>
        <w:rPr>
          <w:rFonts w:hint="eastAsia" w:ascii="Noto Sans Mono CJK JP Regular" w:hAnsi="Noto Sans Mono CJK JP Regular" w:eastAsia="华文细黑" w:cs="Noto Sans Mono CJK JP Regular"/>
          <w:kern w:val="0"/>
          <w:sz w:val="24"/>
          <w:szCs w:val="22"/>
        </w:rPr>
        <w:t>两组裁判</w:t>
      </w:r>
      <w:r>
        <w:rPr>
          <w:rFonts w:ascii="Noto Sans Mono CJK JP Regular" w:hAnsi="Noto Sans Mono CJK JP Regular" w:eastAsia="华文细黑" w:cs="Noto Sans Mono CJK JP Regular"/>
          <w:kern w:val="0"/>
          <w:sz w:val="24"/>
          <w:szCs w:val="22"/>
        </w:rPr>
        <w:t>进行岗位互换。</w:t>
      </w:r>
    </w:p>
    <w:p>
      <w:pPr>
        <w:tabs>
          <w:tab w:val="left" w:pos="3240"/>
        </w:tabs>
        <w:spacing w:line="360" w:lineRule="auto"/>
        <w:ind w:firstLine="480" w:firstLineChars="200"/>
        <w:rPr>
          <w:rFonts w:ascii="仿宋" w:hAnsi="仿宋" w:eastAsia="仿宋"/>
          <w:b/>
          <w:bCs/>
          <w:sz w:val="24"/>
        </w:rPr>
      </w:pPr>
      <w:r>
        <w:rPr>
          <w:rFonts w:hint="eastAsia" w:ascii="Calibri" w:hAnsi="Calibri" w:eastAsia="华文细黑"/>
          <w:b/>
          <w:bCs/>
          <w:sz w:val="24"/>
        </w:rPr>
        <w:t>（四）评判方法</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1. 分数权重由赛项专家组、裁判组本着“公平、公正、公开、科学、创新”的原则，负责赛项成绩的评定工作。从设计、设备操作、文明生产等方面，对选手进行多方面综合评价。</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（1）分数权重</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1）分数和成绩计算方法</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本赛项采用百分制，各个评分项的分数应精确到小数点后两位，小数点后第三位数字采用四舍五入（如1.055 计1.06，1.054 计1.05）。</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（2）客观和主观评分</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本赛项采用基于测量和评价的评分规则，具体评分根据评分表进行，实际评分时由裁判长组织全体裁判进行评分。</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1）评价分（主观）</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评价分（Judgement）打分方式：3 名裁判为一组，3 名裁判各自单独评分，分别给出权重分值，分值为“0”“1”“2”“3”，然后计算出平均权重分，除以3 后再乘以该子项的分值计算出实际得分。裁判相互间分差必须小于等于1 分，否则评分无效，各自需要给出确切理由并在小组长或裁判长的监督下重新评分，权重表如下：</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评价评分样例：</w:t>
      </w:r>
    </w:p>
    <w:tbl>
      <w:tblPr>
        <w:tblStyle w:val="13"/>
        <w:tblW w:w="793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6"/>
        <w:gridCol w:w="62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jc w:val="center"/>
        </w:trPr>
        <w:tc>
          <w:tcPr>
            <w:tcW w:w="1696" w:type="dxa"/>
            <w:vAlign w:val="center"/>
          </w:tcPr>
          <w:p>
            <w:pPr>
              <w:pStyle w:val="4"/>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b/>
                <w:bCs/>
                <w:kern w:val="0"/>
                <w:szCs w:val="21"/>
              </w:rPr>
              <w:t>权重值</w:t>
            </w:r>
          </w:p>
        </w:tc>
        <w:tc>
          <w:tcPr>
            <w:tcW w:w="6237" w:type="dxa"/>
            <w:vAlign w:val="center"/>
          </w:tcPr>
          <w:p>
            <w:pPr>
              <w:pStyle w:val="4"/>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b/>
                <w:bCs/>
                <w:kern w:val="0"/>
                <w:szCs w:val="21"/>
              </w:rPr>
              <w:t>要求描述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atLeast"/>
          <w:jc w:val="center"/>
        </w:trPr>
        <w:tc>
          <w:tcPr>
            <w:tcW w:w="1696" w:type="dxa"/>
            <w:vAlign w:val="center"/>
          </w:tcPr>
          <w:p>
            <w:pPr>
              <w:pStyle w:val="4"/>
              <w:rPr>
                <w:rFonts w:hint="eastAsia" w:ascii="Noto Sans Mono CJK JP Regular" w:hAnsi="Noto Sans Mono CJK JP Regular" w:eastAsia="华文细黑" w:cs="Noto Sans Mono CJK JP Regular"/>
                <w:kern w:val="0"/>
                <w:szCs w:val="21"/>
              </w:rPr>
            </w:pPr>
            <w:r>
              <w:rPr>
                <w:rFonts w:ascii="Noto Sans Mono CJK JP Regular" w:hAnsi="Noto Sans Mono CJK JP Regular" w:eastAsia="华文细黑" w:cs="Noto Sans Mono CJK JP Regular"/>
                <w:kern w:val="0"/>
                <w:szCs w:val="21"/>
              </w:rPr>
              <w:t xml:space="preserve">0 </w:t>
            </w:r>
            <w:r>
              <w:rPr>
                <w:rFonts w:hint="eastAsia" w:ascii="Noto Sans Mono CJK JP Regular" w:hAnsi="Noto Sans Mono CJK JP Regular" w:eastAsia="华文细黑" w:cs="Noto Sans Mono CJK JP Regular"/>
                <w:kern w:val="0"/>
                <w:szCs w:val="21"/>
              </w:rPr>
              <w:t>级</w:t>
            </w:r>
          </w:p>
        </w:tc>
        <w:tc>
          <w:tcPr>
            <w:tcW w:w="6237" w:type="dxa"/>
            <w:vAlign w:val="center"/>
          </w:tcPr>
          <w:p>
            <w:pPr>
              <w:pStyle w:val="4"/>
              <w:jc w:val="both"/>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各方面均低于行业标准，包括“未做尝试”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atLeast"/>
          <w:jc w:val="center"/>
        </w:trPr>
        <w:tc>
          <w:tcPr>
            <w:tcW w:w="1696" w:type="dxa"/>
            <w:vAlign w:val="center"/>
          </w:tcPr>
          <w:p>
            <w:pPr>
              <w:pStyle w:val="4"/>
              <w:rPr>
                <w:rFonts w:hint="eastAsia" w:ascii="Noto Sans Mono CJK JP Regular" w:hAnsi="Noto Sans Mono CJK JP Regular" w:eastAsia="华文细黑" w:cs="Noto Sans Mono CJK JP Regular"/>
                <w:kern w:val="0"/>
                <w:szCs w:val="21"/>
              </w:rPr>
            </w:pPr>
            <w:r>
              <w:rPr>
                <w:rFonts w:ascii="Noto Sans Mono CJK JP Regular" w:hAnsi="Noto Sans Mono CJK JP Regular" w:eastAsia="华文细黑" w:cs="Noto Sans Mono CJK JP Regular"/>
                <w:kern w:val="0"/>
                <w:szCs w:val="21"/>
              </w:rPr>
              <w:t xml:space="preserve">1 </w:t>
            </w:r>
            <w:r>
              <w:rPr>
                <w:rFonts w:hint="eastAsia" w:ascii="Noto Sans Mono CJK JP Regular" w:hAnsi="Noto Sans Mono CJK JP Regular" w:eastAsia="华文细黑" w:cs="Noto Sans Mono CJK JP Regular"/>
                <w:kern w:val="0"/>
                <w:szCs w:val="21"/>
              </w:rPr>
              <w:t>级</w:t>
            </w:r>
          </w:p>
        </w:tc>
        <w:tc>
          <w:tcPr>
            <w:tcW w:w="6237" w:type="dxa"/>
            <w:vAlign w:val="center"/>
          </w:tcPr>
          <w:p>
            <w:pPr>
              <w:pStyle w:val="4"/>
              <w:jc w:val="both"/>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基本达到行业标准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atLeast"/>
          <w:jc w:val="center"/>
        </w:trPr>
        <w:tc>
          <w:tcPr>
            <w:tcW w:w="1696" w:type="dxa"/>
            <w:vAlign w:val="center"/>
          </w:tcPr>
          <w:p>
            <w:pPr>
              <w:pStyle w:val="4"/>
              <w:rPr>
                <w:rFonts w:hint="eastAsia" w:ascii="Noto Sans Mono CJK JP Regular" w:hAnsi="Noto Sans Mono CJK JP Regular" w:eastAsia="华文细黑" w:cs="Noto Sans Mono CJK JP Regular"/>
                <w:kern w:val="0"/>
                <w:szCs w:val="21"/>
              </w:rPr>
            </w:pPr>
            <w:r>
              <w:rPr>
                <w:rFonts w:ascii="Noto Sans Mono CJK JP Regular" w:hAnsi="Noto Sans Mono CJK JP Regular" w:eastAsia="华文细黑" w:cs="Noto Sans Mono CJK JP Regular"/>
                <w:kern w:val="0"/>
                <w:szCs w:val="21"/>
              </w:rPr>
              <w:t xml:space="preserve">2 </w:t>
            </w:r>
            <w:r>
              <w:rPr>
                <w:rFonts w:hint="eastAsia" w:ascii="Noto Sans Mono CJK JP Regular" w:hAnsi="Noto Sans Mono CJK JP Regular" w:eastAsia="华文细黑" w:cs="Noto Sans Mono CJK JP Regular"/>
                <w:kern w:val="0"/>
                <w:szCs w:val="21"/>
              </w:rPr>
              <w:t>级</w:t>
            </w:r>
          </w:p>
        </w:tc>
        <w:tc>
          <w:tcPr>
            <w:tcW w:w="6237" w:type="dxa"/>
            <w:vAlign w:val="center"/>
          </w:tcPr>
          <w:p>
            <w:pPr>
              <w:pStyle w:val="4"/>
              <w:jc w:val="both"/>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达到行业标准，且某些方面超过标准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atLeast"/>
          <w:jc w:val="center"/>
        </w:trPr>
        <w:tc>
          <w:tcPr>
            <w:tcW w:w="1696" w:type="dxa"/>
            <w:vAlign w:val="center"/>
          </w:tcPr>
          <w:p>
            <w:pPr>
              <w:pStyle w:val="4"/>
              <w:rPr>
                <w:rFonts w:hint="eastAsia" w:ascii="Noto Sans Mono CJK JP Regular" w:hAnsi="Noto Sans Mono CJK JP Regular" w:eastAsia="华文细黑" w:cs="Noto Sans Mono CJK JP Regular"/>
                <w:kern w:val="0"/>
                <w:szCs w:val="21"/>
              </w:rPr>
            </w:pPr>
            <w:r>
              <w:rPr>
                <w:rFonts w:ascii="Noto Sans Mono CJK JP Regular" w:hAnsi="Noto Sans Mono CJK JP Regular" w:eastAsia="华文细黑" w:cs="Noto Sans Mono CJK JP Regular"/>
                <w:kern w:val="0"/>
                <w:szCs w:val="21"/>
              </w:rPr>
              <w:t xml:space="preserve">3 </w:t>
            </w:r>
            <w:r>
              <w:rPr>
                <w:rFonts w:hint="eastAsia" w:ascii="Noto Sans Mono CJK JP Regular" w:hAnsi="Noto Sans Mono CJK JP Regular" w:eastAsia="华文细黑" w:cs="Noto Sans Mono CJK JP Regular"/>
                <w:kern w:val="0"/>
                <w:szCs w:val="21"/>
              </w:rPr>
              <w:t>级</w:t>
            </w:r>
          </w:p>
        </w:tc>
        <w:tc>
          <w:tcPr>
            <w:tcW w:w="6237" w:type="dxa"/>
            <w:vAlign w:val="center"/>
          </w:tcPr>
          <w:p>
            <w:pPr>
              <w:pStyle w:val="4"/>
              <w:jc w:val="both"/>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达到行业期待的优秀水平</w:t>
            </w:r>
          </w:p>
        </w:tc>
      </w:tr>
    </w:tbl>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2）测量分（客观）</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测量分（Measurement）打分方式：按模块设置若干个评分组，每组由3名及以上裁判构成。每个组所有裁判一起商议，在对该选手在该项中的实际得分达成一致后最终只给出一个分值。若裁判数量多，也可以另定分组模式，测量分打分方式为满分或零分。</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2.评判方法</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评分实行过程评分与结果评分相结合机制。现场裁判依据《现场记录表》，对参赛队操作规范、现场表现等指标实时记录，由选手与现场裁判双方签字确认。结果评分由各专项评分小组按负责模块独立评定，做到过程与结果评分有效衔接，当日工件当日完成评分。U盘评分数据一经存入即刻锁定，严禁更改；所有评价及测量评分表，须经每位裁判员签字后统一提交裁判长存档备查。</w:t>
      </w:r>
    </w:p>
    <w:p>
      <w:pPr>
        <w:spacing w:before="156" w:beforeLines="50" w:after="156" w:afterLines="50" w:line="360" w:lineRule="auto"/>
        <w:ind w:firstLine="602" w:firstLineChars="200"/>
        <w:rPr>
          <w:rFonts w:ascii="黑体" w:hAnsi="黑体" w:eastAsia="黑体" w:cs="黑体"/>
          <w:b/>
          <w:bCs/>
          <w:sz w:val="30"/>
          <w:szCs w:val="30"/>
        </w:rPr>
      </w:pPr>
      <w:r>
        <w:rPr>
          <w:rFonts w:hint="eastAsia" w:ascii="黑体" w:hAnsi="黑体" w:eastAsia="黑体" w:cs="黑体"/>
          <w:b/>
          <w:bCs/>
          <w:sz w:val="30"/>
          <w:szCs w:val="30"/>
        </w:rPr>
        <w:t>六、竞赛细则</w:t>
      </w:r>
    </w:p>
    <w:p>
      <w:pPr>
        <w:tabs>
          <w:tab w:val="left" w:pos="3240"/>
        </w:tabs>
        <w:spacing w:line="360" w:lineRule="auto"/>
        <w:ind w:firstLine="480" w:firstLineChars="200"/>
        <w:rPr>
          <w:rFonts w:ascii="仿宋" w:hAnsi="仿宋" w:eastAsia="仿宋"/>
          <w:b/>
          <w:bCs/>
          <w:sz w:val="24"/>
        </w:rPr>
      </w:pPr>
      <w:r>
        <w:rPr>
          <w:rFonts w:hint="eastAsia" w:ascii="Calibri" w:hAnsi="Calibri" w:eastAsia="华文细黑"/>
          <w:b/>
          <w:bCs/>
          <w:sz w:val="24"/>
        </w:rPr>
        <w:t>（一）竞赛流程</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1.场次和工位抽签</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（1）前一天下午由组委会统一组织场次顺序抽签，确认选手比赛场次及抽签顺序，并制作检录表。</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（2）在比赛开始前，组委会工作人员根据抽签顺序抽取选手的工位号，志愿者根据抽签结果带领选手进入到对应工位，开始比赛。</w:t>
      </w:r>
    </w:p>
    <w:p>
      <w:pPr>
        <w:widowControl/>
        <w:jc w:val="left"/>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br w:type="page"/>
      </w:r>
    </w:p>
    <w:p>
      <w:pPr>
        <w:spacing w:line="360" w:lineRule="auto"/>
        <w:ind w:firstLine="602" w:firstLineChars="200"/>
        <w:rPr>
          <w:rFonts w:ascii="黑体" w:hAnsi="黑体" w:eastAsia="黑体" w:cs="黑体"/>
          <w:b/>
          <w:bCs/>
          <w:sz w:val="30"/>
          <w:szCs w:val="30"/>
        </w:rPr>
      </w:pPr>
      <w:r>
        <w:rPr>
          <w:rFonts w:hint="eastAsia" w:ascii="黑体" w:hAnsi="黑体" w:eastAsia="黑体" w:cs="黑体"/>
          <w:b/>
          <w:bCs/>
          <w:sz w:val="30"/>
          <w:szCs w:val="30"/>
        </w:rPr>
        <w:t>七、赛场纪律</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1.裁判员纪律要求</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（1）竞赛前，裁判员需将所有具有通信功能、拍摄功能、存储功能的电子设备上交；</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（2）竞赛过程中，现场裁判应对每名选手的各道工序认真填写竞赛监考记录；</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（3）竞赛期间，裁判员应尽量避免离开赛场，无执裁期间在裁判员区域进行休息；</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（4）裁判员不得参与非本人执裁工位的任何执裁及技术评判工作；</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（5）竞赛期间，裁判员与选手只能进行有关工作方面的必要联系，不得进行任何提示性交谈；</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（6）竞赛过程中，裁判员不可长时间、近距离观察选手操作；</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（7）竞赛过程中，裁判员不可对选手进行任何暗示性动作或语言提示；</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（8）竞赛过程中，裁判员不可询问选手所在单位等可能透露个人信息的信息；</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（9）竞赛过程中，若发生安全故障，裁判员可第一时间暂停考核；</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w:t>
      </w:r>
      <w:r>
        <w:rPr>
          <w:rFonts w:ascii="Noto Sans Mono CJK JP Regular" w:hAnsi="Noto Sans Mono CJK JP Regular" w:eastAsia="华文细黑" w:cs="Noto Sans Mono CJK JP Regular"/>
          <w:kern w:val="0"/>
          <w:sz w:val="24"/>
          <w:szCs w:val="22"/>
        </w:rPr>
        <w:t>10</w:t>
      </w:r>
      <w:r>
        <w:rPr>
          <w:rFonts w:hint="eastAsia" w:ascii="Noto Sans Mono CJK JP Regular" w:hAnsi="Noto Sans Mono CJK JP Regular" w:eastAsia="华文细黑" w:cs="Noto Sans Mono CJK JP Regular"/>
          <w:kern w:val="0"/>
          <w:sz w:val="24"/>
          <w:szCs w:val="22"/>
        </w:rPr>
        <w:t>）竞赛过程中，若产生由于非选手操作引起的设备、安全故障，需技术人员处理时，裁判员应及时将选手调整到备用工位继续竞赛，期间产生的时间差不计入总竞赛时间；</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w:t>
      </w:r>
      <w:r>
        <w:rPr>
          <w:rFonts w:ascii="Noto Sans Mono CJK JP Regular" w:hAnsi="Noto Sans Mono CJK JP Regular" w:eastAsia="华文细黑" w:cs="Noto Sans Mono CJK JP Regular"/>
          <w:kern w:val="0"/>
          <w:sz w:val="24"/>
          <w:szCs w:val="22"/>
        </w:rPr>
        <w:t>11</w:t>
      </w:r>
      <w:r>
        <w:rPr>
          <w:rFonts w:hint="eastAsia" w:ascii="Noto Sans Mono CJK JP Regular" w:hAnsi="Noto Sans Mono CJK JP Regular" w:eastAsia="华文细黑" w:cs="Noto Sans Mono CJK JP Regular"/>
          <w:kern w:val="0"/>
          <w:sz w:val="24"/>
          <w:szCs w:val="22"/>
        </w:rPr>
        <w:t>）竞赛过程中，若裁判员发生技术争议，以裁判长组织裁判员投票决议为准；</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w:t>
      </w:r>
      <w:r>
        <w:rPr>
          <w:rFonts w:ascii="Noto Sans Mono CJK JP Regular" w:hAnsi="Noto Sans Mono CJK JP Regular" w:eastAsia="华文细黑" w:cs="Noto Sans Mono CJK JP Regular"/>
          <w:kern w:val="0"/>
          <w:sz w:val="24"/>
          <w:szCs w:val="22"/>
        </w:rPr>
        <w:t>12</w:t>
      </w:r>
      <w:r>
        <w:rPr>
          <w:rFonts w:hint="eastAsia" w:ascii="Noto Sans Mono CJK JP Regular" w:hAnsi="Noto Sans Mono CJK JP Regular" w:eastAsia="华文细黑" w:cs="Noto Sans Mono CJK JP Regular"/>
          <w:kern w:val="0"/>
          <w:sz w:val="24"/>
          <w:szCs w:val="22"/>
        </w:rPr>
        <w:t>）裁判长可对所有裁判员的打分过程的公平、公正性进行监督，对违反公平公正的裁判可按程序重新分配工作或取消裁判资格；</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w:t>
      </w:r>
      <w:r>
        <w:rPr>
          <w:rFonts w:ascii="Noto Sans Mono CJK JP Regular" w:hAnsi="Noto Sans Mono CJK JP Regular" w:eastAsia="华文细黑" w:cs="Noto Sans Mono CJK JP Regular"/>
          <w:kern w:val="0"/>
          <w:sz w:val="24"/>
          <w:szCs w:val="22"/>
        </w:rPr>
        <w:t>13</w:t>
      </w:r>
      <w:r>
        <w:rPr>
          <w:rFonts w:hint="eastAsia" w:ascii="Noto Sans Mono CJK JP Regular" w:hAnsi="Noto Sans Mono CJK JP Regular" w:eastAsia="华文细黑" w:cs="Noto Sans Mono CJK JP Regular"/>
          <w:kern w:val="0"/>
          <w:sz w:val="24"/>
          <w:szCs w:val="22"/>
        </w:rPr>
        <w:t>）在竞赛过程中，裁判员不服从裁判长工作安排或发生严重违规，由裁判长汇报组委会进行处理，严重者取消执裁资格。</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2.选手熟悉场地规则</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w:t>
      </w:r>
      <w:r>
        <w:rPr>
          <w:rFonts w:ascii="Noto Sans Mono CJK JP Regular" w:hAnsi="Noto Sans Mono CJK JP Regular" w:eastAsia="华文细黑" w:cs="Noto Sans Mono CJK JP Regular"/>
          <w:kern w:val="0"/>
          <w:sz w:val="24"/>
          <w:szCs w:val="22"/>
        </w:rPr>
        <w:t>1</w:t>
      </w:r>
      <w:r>
        <w:rPr>
          <w:rFonts w:hint="eastAsia" w:ascii="Noto Sans Mono CJK JP Regular" w:hAnsi="Noto Sans Mono CJK JP Regular" w:eastAsia="华文细黑" w:cs="Noto Sans Mono CJK JP Regular"/>
          <w:kern w:val="0"/>
          <w:sz w:val="24"/>
          <w:szCs w:val="22"/>
        </w:rPr>
        <w:t>）选手熟悉赛场期间，选手可以对设备及软件进行试运行，熟悉场地的时间必须服从裁判长及现场裁判的管理；</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w:t>
      </w:r>
      <w:r>
        <w:rPr>
          <w:rFonts w:ascii="Noto Sans Mono CJK JP Regular" w:hAnsi="Noto Sans Mono CJK JP Regular" w:eastAsia="华文细黑" w:cs="Noto Sans Mono CJK JP Regular"/>
          <w:kern w:val="0"/>
          <w:sz w:val="24"/>
          <w:szCs w:val="22"/>
        </w:rPr>
        <w:t>2</w:t>
      </w:r>
      <w:r>
        <w:rPr>
          <w:rFonts w:hint="eastAsia" w:ascii="Noto Sans Mono CJK JP Regular" w:hAnsi="Noto Sans Mono CJK JP Regular" w:eastAsia="华文细黑" w:cs="Noto Sans Mono CJK JP Regular"/>
          <w:kern w:val="0"/>
          <w:sz w:val="24"/>
          <w:szCs w:val="22"/>
        </w:rPr>
        <w:t>）选手统一有序地熟悉竞赛场地和设备，允许试运行设备、使用电脑软件、不允许拆装设备、不允许修改软件、设备参数等；</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w:t>
      </w:r>
      <w:r>
        <w:rPr>
          <w:rFonts w:ascii="Noto Sans Mono CJK JP Regular" w:hAnsi="Noto Sans Mono CJK JP Regular" w:eastAsia="华文细黑" w:cs="Noto Sans Mono CJK JP Regular"/>
          <w:kern w:val="0"/>
          <w:sz w:val="24"/>
          <w:szCs w:val="22"/>
        </w:rPr>
        <w:t>3</w:t>
      </w:r>
      <w:r>
        <w:rPr>
          <w:rFonts w:hint="eastAsia" w:ascii="Noto Sans Mono CJK JP Regular" w:hAnsi="Noto Sans Mono CJK JP Regular" w:eastAsia="华文细黑" w:cs="Noto Sans Mono CJK JP Regular"/>
          <w:kern w:val="0"/>
          <w:sz w:val="24"/>
          <w:szCs w:val="22"/>
        </w:rPr>
        <w:t>）熟悉场地时，不得携带手机、相机等设备，不得对赛场及赛场设备拍照；</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w:t>
      </w:r>
      <w:r>
        <w:rPr>
          <w:rFonts w:ascii="Noto Sans Mono CJK JP Regular" w:hAnsi="Noto Sans Mono CJK JP Regular" w:eastAsia="华文细黑" w:cs="Noto Sans Mono CJK JP Regular"/>
          <w:kern w:val="0"/>
          <w:sz w:val="24"/>
          <w:szCs w:val="22"/>
        </w:rPr>
        <w:t>4</w:t>
      </w:r>
      <w:r>
        <w:rPr>
          <w:rFonts w:hint="eastAsia" w:ascii="Noto Sans Mono CJK JP Regular" w:hAnsi="Noto Sans Mono CJK JP Regular" w:eastAsia="华文细黑" w:cs="Noto Sans Mono CJK JP Regular"/>
          <w:kern w:val="0"/>
          <w:sz w:val="24"/>
          <w:szCs w:val="22"/>
        </w:rPr>
        <w:t>）试运行过程由选手独立完成，场内裁判与场外人员均不得提供任何指导；</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w:t>
      </w:r>
      <w:r>
        <w:rPr>
          <w:rFonts w:ascii="Noto Sans Mono CJK JP Regular" w:hAnsi="Noto Sans Mono CJK JP Regular" w:eastAsia="华文细黑" w:cs="Noto Sans Mono CJK JP Regular"/>
          <w:kern w:val="0"/>
          <w:sz w:val="24"/>
          <w:szCs w:val="22"/>
        </w:rPr>
        <w:t>5</w:t>
      </w:r>
      <w:r>
        <w:rPr>
          <w:rFonts w:hint="eastAsia" w:ascii="Noto Sans Mono CJK JP Regular" w:hAnsi="Noto Sans Mono CJK JP Regular" w:eastAsia="华文细黑" w:cs="Noto Sans Mono CJK JP Regular"/>
          <w:kern w:val="0"/>
          <w:sz w:val="24"/>
          <w:szCs w:val="22"/>
        </w:rPr>
        <w:t>）熟悉场地时不发表没有根据以及有损大赛整体形象的言论；</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w:t>
      </w:r>
      <w:r>
        <w:rPr>
          <w:rFonts w:ascii="Noto Sans Mono CJK JP Regular" w:hAnsi="Noto Sans Mono CJK JP Regular" w:eastAsia="华文细黑" w:cs="Noto Sans Mono CJK JP Regular"/>
          <w:kern w:val="0"/>
          <w:sz w:val="24"/>
          <w:szCs w:val="22"/>
        </w:rPr>
        <w:t>6</w:t>
      </w:r>
      <w:r>
        <w:rPr>
          <w:rFonts w:hint="eastAsia" w:ascii="Noto Sans Mono CJK JP Regular" w:hAnsi="Noto Sans Mono CJK JP Regular" w:eastAsia="华文细黑" w:cs="Noto Sans Mono CJK JP Regular"/>
          <w:kern w:val="0"/>
          <w:sz w:val="24"/>
          <w:szCs w:val="22"/>
        </w:rPr>
        <w:t>）熟悉场地时严格遵守大赛各种制度，严禁拥挤、喧哗，以免发生意外事故。</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3.选手纪律要求</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w:t>
      </w:r>
      <w:r>
        <w:rPr>
          <w:rFonts w:ascii="Noto Sans Mono CJK JP Regular" w:hAnsi="Noto Sans Mono CJK JP Regular" w:eastAsia="华文细黑" w:cs="Noto Sans Mono CJK JP Regular"/>
          <w:kern w:val="0"/>
          <w:sz w:val="24"/>
          <w:szCs w:val="22"/>
        </w:rPr>
        <w:t>1</w:t>
      </w:r>
      <w:r>
        <w:rPr>
          <w:rFonts w:hint="eastAsia" w:ascii="Noto Sans Mono CJK JP Regular" w:hAnsi="Noto Sans Mono CJK JP Regular" w:eastAsia="华文细黑" w:cs="Noto Sans Mono CJK JP Regular"/>
          <w:kern w:val="0"/>
          <w:sz w:val="24"/>
          <w:szCs w:val="22"/>
        </w:rPr>
        <w:t>）选手必须持本人身份证并佩戴竞赛组委会签发的参赛证件参加竞赛；</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w:t>
      </w:r>
      <w:r>
        <w:rPr>
          <w:rFonts w:ascii="Noto Sans Mono CJK JP Regular" w:hAnsi="Noto Sans Mono CJK JP Regular" w:eastAsia="华文细黑" w:cs="Noto Sans Mono CJK JP Regular"/>
          <w:kern w:val="0"/>
          <w:sz w:val="24"/>
          <w:szCs w:val="22"/>
        </w:rPr>
        <w:t>2</w:t>
      </w:r>
      <w:r>
        <w:rPr>
          <w:rFonts w:hint="eastAsia" w:ascii="Noto Sans Mono CJK JP Regular" w:hAnsi="Noto Sans Mono CJK JP Regular" w:eastAsia="华文细黑" w:cs="Noto Sans Mono CJK JP Regular"/>
          <w:kern w:val="0"/>
          <w:sz w:val="24"/>
          <w:szCs w:val="22"/>
        </w:rPr>
        <w:t>）选手必须按比赛时间提前3</w:t>
      </w:r>
      <w:r>
        <w:rPr>
          <w:rFonts w:ascii="Noto Sans Mono CJK JP Regular" w:hAnsi="Noto Sans Mono CJK JP Regular" w:eastAsia="华文细黑" w:cs="Noto Sans Mono CJK JP Regular"/>
          <w:kern w:val="0"/>
          <w:sz w:val="24"/>
          <w:szCs w:val="22"/>
        </w:rPr>
        <w:t xml:space="preserve">0 </w:t>
      </w:r>
      <w:r>
        <w:rPr>
          <w:rFonts w:hint="eastAsia" w:ascii="Noto Sans Mono CJK JP Regular" w:hAnsi="Noto Sans Mono CJK JP Regular" w:eastAsia="华文细黑" w:cs="Noto Sans Mono CJK JP Regular"/>
          <w:kern w:val="0"/>
          <w:sz w:val="24"/>
          <w:szCs w:val="22"/>
        </w:rPr>
        <w:t>分钟检录进入赛场，并按指定座位号、机位号参加比赛，迟到3</w:t>
      </w:r>
      <w:r>
        <w:rPr>
          <w:rFonts w:ascii="Noto Sans Mono CJK JP Regular" w:hAnsi="Noto Sans Mono CJK JP Regular" w:eastAsia="华文细黑" w:cs="Noto Sans Mono CJK JP Regular"/>
          <w:kern w:val="0"/>
          <w:sz w:val="24"/>
          <w:szCs w:val="22"/>
        </w:rPr>
        <w:t xml:space="preserve">0 </w:t>
      </w:r>
      <w:r>
        <w:rPr>
          <w:rFonts w:hint="eastAsia" w:ascii="Noto Sans Mono CJK JP Regular" w:hAnsi="Noto Sans Mono CJK JP Regular" w:eastAsia="华文细黑" w:cs="Noto Sans Mono CJK JP Regular"/>
          <w:kern w:val="0"/>
          <w:sz w:val="24"/>
          <w:szCs w:val="22"/>
        </w:rPr>
        <w:t>分钟者不得参加竞赛，比赛结束后选手统一离开赛场；</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w:t>
      </w:r>
      <w:r>
        <w:rPr>
          <w:rFonts w:ascii="Noto Sans Mono CJK JP Regular" w:hAnsi="Noto Sans Mono CJK JP Regular" w:eastAsia="华文细黑" w:cs="Noto Sans Mono CJK JP Regular"/>
          <w:kern w:val="0"/>
          <w:sz w:val="24"/>
          <w:szCs w:val="22"/>
        </w:rPr>
        <w:t>3</w:t>
      </w:r>
      <w:r>
        <w:rPr>
          <w:rFonts w:hint="eastAsia" w:ascii="Noto Sans Mono CJK JP Regular" w:hAnsi="Noto Sans Mono CJK JP Regular" w:eastAsia="华文细黑" w:cs="Noto Sans Mono CJK JP Regular"/>
          <w:kern w:val="0"/>
          <w:sz w:val="24"/>
          <w:szCs w:val="22"/>
        </w:rPr>
        <w:t>）选手应认真阅读竞赛须知，自觉遵守赛场纪律，按竞赛规则、赛项与赛场要求进行竞赛，不得携带任何通讯及存储设备、纸质材料等物品进入赛场，赛场内提供必需用品；</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w:t>
      </w:r>
      <w:r>
        <w:rPr>
          <w:rFonts w:ascii="Noto Sans Mono CJK JP Regular" w:hAnsi="Noto Sans Mono CJK JP Regular" w:eastAsia="华文细黑" w:cs="Noto Sans Mono CJK JP Regular"/>
          <w:kern w:val="0"/>
          <w:sz w:val="24"/>
          <w:szCs w:val="22"/>
        </w:rPr>
        <w:t>4</w:t>
      </w:r>
      <w:r>
        <w:rPr>
          <w:rFonts w:hint="eastAsia" w:ascii="Noto Sans Mono CJK JP Regular" w:hAnsi="Noto Sans Mono CJK JP Regular" w:eastAsia="华文细黑" w:cs="Noto Sans Mono CJK JP Regular"/>
          <w:kern w:val="0"/>
          <w:sz w:val="24"/>
          <w:szCs w:val="22"/>
        </w:rPr>
        <w:t>）选手在比赛过程中不得擅自离开赛场，如有特殊情况，需经裁判人员同意后作特殊处理；</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w:t>
      </w:r>
      <w:r>
        <w:rPr>
          <w:rFonts w:ascii="Noto Sans Mono CJK JP Regular" w:hAnsi="Noto Sans Mono CJK JP Regular" w:eastAsia="华文细黑" w:cs="Noto Sans Mono CJK JP Regular"/>
          <w:kern w:val="0"/>
          <w:sz w:val="24"/>
          <w:szCs w:val="22"/>
        </w:rPr>
        <w:t>5</w:t>
      </w:r>
      <w:r>
        <w:rPr>
          <w:rFonts w:hint="eastAsia" w:ascii="Noto Sans Mono CJK JP Regular" w:hAnsi="Noto Sans Mono CJK JP Regular" w:eastAsia="华文细黑" w:cs="Noto Sans Mono CJK JP Regular"/>
          <w:kern w:val="0"/>
          <w:sz w:val="24"/>
          <w:szCs w:val="22"/>
        </w:rPr>
        <w:t>）竞赛过程中，允许选手饮水、上洗手间，其耗时一律计算在竞赛时间内；</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w:t>
      </w:r>
      <w:r>
        <w:rPr>
          <w:rFonts w:ascii="Noto Sans Mono CJK JP Regular" w:hAnsi="Noto Sans Mono CJK JP Regular" w:eastAsia="华文细黑" w:cs="Noto Sans Mono CJK JP Regular"/>
          <w:kern w:val="0"/>
          <w:sz w:val="24"/>
          <w:szCs w:val="22"/>
        </w:rPr>
        <w:t>6</w:t>
      </w:r>
      <w:r>
        <w:rPr>
          <w:rFonts w:hint="eastAsia" w:ascii="Noto Sans Mono CJK JP Regular" w:hAnsi="Noto Sans Mono CJK JP Regular" w:eastAsia="华文细黑" w:cs="Noto Sans Mono CJK JP Regular"/>
          <w:kern w:val="0"/>
          <w:sz w:val="24"/>
          <w:szCs w:val="22"/>
        </w:rPr>
        <w:t>）选手在竞赛过程中如发现问题，应立即向监考裁判反映，得到监考裁判同意方可暂停竞赛，否则竞赛时间照计；</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w:t>
      </w:r>
      <w:r>
        <w:rPr>
          <w:rFonts w:ascii="Noto Sans Mono CJK JP Regular" w:hAnsi="Noto Sans Mono CJK JP Regular" w:eastAsia="华文细黑" w:cs="Noto Sans Mono CJK JP Regular"/>
          <w:kern w:val="0"/>
          <w:sz w:val="24"/>
          <w:szCs w:val="22"/>
        </w:rPr>
        <w:t>7</w:t>
      </w:r>
      <w:r>
        <w:rPr>
          <w:rFonts w:hint="eastAsia" w:ascii="Noto Sans Mono CJK JP Regular" w:hAnsi="Noto Sans Mono CJK JP Regular" w:eastAsia="华文细黑" w:cs="Noto Sans Mono CJK JP Regular"/>
          <w:kern w:val="0"/>
          <w:sz w:val="24"/>
          <w:szCs w:val="22"/>
        </w:rPr>
        <w:t>）选手在比赛过程中，如遇问题需举手向裁判人员提问，选手之间互相询问按作弊行为处理；</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w:t>
      </w:r>
      <w:r>
        <w:rPr>
          <w:rFonts w:ascii="Noto Sans Mono CJK JP Regular" w:hAnsi="Noto Sans Mono CJK JP Regular" w:eastAsia="华文细黑" w:cs="Noto Sans Mono CJK JP Regular"/>
          <w:kern w:val="0"/>
          <w:sz w:val="24"/>
          <w:szCs w:val="22"/>
        </w:rPr>
        <w:t>8</w:t>
      </w:r>
      <w:r>
        <w:rPr>
          <w:rFonts w:hint="eastAsia" w:ascii="Noto Sans Mono CJK JP Regular" w:hAnsi="Noto Sans Mono CJK JP Regular" w:eastAsia="华文细黑" w:cs="Noto Sans Mono CJK JP Regular"/>
          <w:kern w:val="0"/>
          <w:sz w:val="24"/>
          <w:szCs w:val="22"/>
        </w:rPr>
        <w:t>）当因停电等不可抗力因素影响工作时，选手提出，经裁判长核实情况后裁决；</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w:t>
      </w:r>
      <w:r>
        <w:rPr>
          <w:rFonts w:ascii="Noto Sans Mono CJK JP Regular" w:hAnsi="Noto Sans Mono CJK JP Regular" w:eastAsia="华文细黑" w:cs="Noto Sans Mono CJK JP Regular"/>
          <w:kern w:val="0"/>
          <w:sz w:val="24"/>
          <w:szCs w:val="22"/>
        </w:rPr>
        <w:t>9</w:t>
      </w:r>
      <w:r>
        <w:rPr>
          <w:rFonts w:hint="eastAsia" w:ascii="Noto Sans Mono CJK JP Regular" w:hAnsi="Noto Sans Mono CJK JP Regular" w:eastAsia="华文细黑" w:cs="Noto Sans Mono CJK JP Regular"/>
          <w:kern w:val="0"/>
          <w:sz w:val="24"/>
          <w:szCs w:val="22"/>
        </w:rPr>
        <w:t>）比赛结束前</w:t>
      </w:r>
      <w:r>
        <w:rPr>
          <w:rFonts w:ascii="Noto Sans Mono CJK JP Regular" w:hAnsi="Noto Sans Mono CJK JP Regular" w:eastAsia="华文细黑" w:cs="Noto Sans Mono CJK JP Regular"/>
          <w:kern w:val="0"/>
          <w:sz w:val="24"/>
          <w:szCs w:val="22"/>
        </w:rPr>
        <w:t xml:space="preserve">15 </w:t>
      </w:r>
      <w:r>
        <w:rPr>
          <w:rFonts w:hint="eastAsia" w:ascii="Noto Sans Mono CJK JP Regular" w:hAnsi="Noto Sans Mono CJK JP Regular" w:eastAsia="华文细黑" w:cs="Noto Sans Mono CJK JP Regular"/>
          <w:kern w:val="0"/>
          <w:sz w:val="24"/>
          <w:szCs w:val="22"/>
        </w:rPr>
        <w:t>分钟，裁判长提醒比赛即将结束，当宣布比赛结束后应立即停止操作，不得以任何理由拖延比赛时间；</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w:t>
      </w:r>
      <w:r>
        <w:rPr>
          <w:rFonts w:ascii="Noto Sans Mono CJK JP Regular" w:hAnsi="Noto Sans Mono CJK JP Regular" w:eastAsia="华文细黑" w:cs="Noto Sans Mono CJK JP Regular"/>
          <w:kern w:val="0"/>
          <w:sz w:val="24"/>
          <w:szCs w:val="22"/>
        </w:rPr>
        <w:t>10</w:t>
      </w:r>
      <w:r>
        <w:rPr>
          <w:rFonts w:hint="eastAsia" w:ascii="Noto Sans Mono CJK JP Regular" w:hAnsi="Noto Sans Mono CJK JP Regular" w:eastAsia="华文细黑" w:cs="Noto Sans Mono CJK JP Regular"/>
          <w:kern w:val="0"/>
          <w:sz w:val="24"/>
          <w:szCs w:val="22"/>
        </w:rPr>
        <w:t>）选手若提前结束比赛，应由选手向裁判员举手示意，比赛终止时间由裁判员记录，选手结束比赛后不得再进行任何操作，并按要求撤离比赛现场；</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w:t>
      </w:r>
      <w:r>
        <w:rPr>
          <w:rFonts w:ascii="Noto Sans Mono CJK JP Regular" w:hAnsi="Noto Sans Mono CJK JP Regular" w:eastAsia="华文细黑" w:cs="Noto Sans Mono CJK JP Regular"/>
          <w:kern w:val="0"/>
          <w:sz w:val="24"/>
          <w:szCs w:val="22"/>
        </w:rPr>
        <w:t>11</w:t>
      </w:r>
      <w:r>
        <w:rPr>
          <w:rFonts w:hint="eastAsia" w:ascii="Noto Sans Mono CJK JP Regular" w:hAnsi="Noto Sans Mono CJK JP Regular" w:eastAsia="华文细黑" w:cs="Noto Sans Mono CJK JP Regular"/>
          <w:kern w:val="0"/>
          <w:sz w:val="24"/>
          <w:szCs w:val="22"/>
        </w:rPr>
        <w:t>）竞赛过程中，选手须严格遵守安全操作规程及劳动保护要求，接受裁判员、现场技术服务人员的监督和警示，确保设备及人身安全；</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w:t>
      </w:r>
      <w:r>
        <w:rPr>
          <w:rFonts w:ascii="Noto Sans Mono CJK JP Regular" w:hAnsi="Noto Sans Mono CJK JP Regular" w:eastAsia="华文细黑" w:cs="Noto Sans Mono CJK JP Regular"/>
          <w:kern w:val="0"/>
          <w:sz w:val="24"/>
          <w:szCs w:val="22"/>
        </w:rPr>
        <w:t>12</w:t>
      </w:r>
      <w:r>
        <w:rPr>
          <w:rFonts w:hint="eastAsia" w:ascii="Noto Sans Mono CJK JP Regular" w:hAnsi="Noto Sans Mono CJK JP Regular" w:eastAsia="华文细黑" w:cs="Noto Sans Mono CJK JP Regular"/>
          <w:kern w:val="0"/>
          <w:sz w:val="24"/>
          <w:szCs w:val="22"/>
        </w:rPr>
        <w:t>）竞赛选手在竞赛过程中必须主动配合裁判的工作，完全服从裁判安排，如果对竞赛的裁决有异议，请以书面形式向组委会提出申诉。</w:t>
      </w:r>
    </w:p>
    <w:p>
      <w:pPr>
        <w:spacing w:before="156" w:beforeLines="50" w:after="156" w:afterLines="50" w:line="360" w:lineRule="auto"/>
        <w:ind w:firstLine="602" w:firstLineChars="200"/>
        <w:rPr>
          <w:rFonts w:ascii="黑体" w:hAnsi="黑体" w:eastAsia="黑体" w:cs="黑体"/>
          <w:b/>
          <w:bCs/>
          <w:sz w:val="30"/>
          <w:szCs w:val="30"/>
        </w:rPr>
      </w:pPr>
      <w:r>
        <w:rPr>
          <w:rFonts w:hint="eastAsia" w:ascii="黑体" w:hAnsi="黑体" w:eastAsia="黑体" w:cs="黑体"/>
          <w:b/>
          <w:bCs/>
          <w:sz w:val="30"/>
          <w:szCs w:val="30"/>
        </w:rPr>
        <w:t>八、基础设施清单</w:t>
      </w:r>
    </w:p>
    <w:p>
      <w:pPr>
        <w:spacing w:line="360" w:lineRule="auto"/>
        <w:ind w:firstLine="480" w:firstLineChars="200"/>
        <w:rPr>
          <w:rFonts w:hint="eastAsia" w:ascii="Noto Sans Mono CJK JP Regular" w:hAnsi="Noto Sans Mono CJK JP Regular" w:eastAsia="华文细黑" w:cs="Noto Sans Mono CJK JP Regular"/>
          <w:kern w:val="0"/>
          <w:sz w:val="24"/>
          <w:szCs w:val="22"/>
          <w:lang w:val="zh-CN"/>
        </w:rPr>
      </w:pPr>
      <w:r>
        <w:rPr>
          <w:rFonts w:hint="eastAsia" w:ascii="Noto Sans Mono CJK JP Regular" w:hAnsi="Noto Sans Mono CJK JP Regular" w:eastAsia="华文细黑" w:cs="Noto Sans Mono CJK JP Regular"/>
          <w:kern w:val="0"/>
          <w:sz w:val="24"/>
          <w:szCs w:val="22"/>
          <w:lang w:val="zh-CN"/>
        </w:rPr>
        <w:t>1.赛场设施设备清单</w:t>
      </w:r>
    </w:p>
    <w:p>
      <w:pPr>
        <w:spacing w:line="360" w:lineRule="auto"/>
        <w:ind w:firstLine="480" w:firstLineChars="200"/>
        <w:rPr>
          <w:rFonts w:hint="eastAsia" w:ascii="Noto Sans Mono CJK JP Regular" w:hAnsi="Noto Sans Mono CJK JP Regular" w:eastAsia="华文细黑" w:cs="Noto Sans Mono CJK JP Regular"/>
          <w:kern w:val="0"/>
          <w:sz w:val="24"/>
          <w:szCs w:val="22"/>
          <w:lang w:val="zh-CN"/>
        </w:rPr>
      </w:pPr>
      <w:r>
        <w:rPr>
          <w:rFonts w:hint="eastAsia" w:ascii="Noto Sans Mono CJK JP Regular" w:hAnsi="Noto Sans Mono CJK JP Regular" w:eastAsia="华文细黑" w:cs="Noto Sans Mono CJK JP Regular"/>
          <w:kern w:val="0"/>
          <w:sz w:val="24"/>
          <w:szCs w:val="22"/>
          <w:lang w:val="zh-CN"/>
        </w:rPr>
        <w:t>比赛场地提供竞赛所需的数控机床电气装调与维修实训系统、工业机械传动系统装调平台等设施。设施设备清单</w:t>
      </w:r>
      <w:r>
        <w:rPr>
          <w:rFonts w:hint="eastAsia" w:ascii="Noto Sans Mono CJK JP Regular" w:hAnsi="Noto Sans Mono CJK JP Regular" w:eastAsia="华文细黑" w:cs="Noto Sans Mono CJK JP Regular"/>
          <w:kern w:val="0"/>
          <w:sz w:val="24"/>
          <w:szCs w:val="22"/>
        </w:rPr>
        <w:t>详</w:t>
      </w:r>
      <w:r>
        <w:rPr>
          <w:rFonts w:hint="eastAsia" w:ascii="Noto Sans Mono CJK JP Regular" w:hAnsi="Noto Sans Mono CJK JP Regular" w:eastAsia="华文细黑" w:cs="Noto Sans Mono CJK JP Regular"/>
          <w:kern w:val="0"/>
          <w:sz w:val="24"/>
          <w:szCs w:val="22"/>
          <w:lang w:val="zh-CN"/>
        </w:rPr>
        <w:t>见附件</w:t>
      </w:r>
      <w:r>
        <w:rPr>
          <w:rFonts w:hint="eastAsia" w:ascii="Noto Sans Mono CJK JP Regular" w:hAnsi="Noto Sans Mono CJK JP Regular" w:eastAsia="华文细黑" w:cs="Noto Sans Mono CJK JP Regular"/>
          <w:kern w:val="0"/>
          <w:sz w:val="24"/>
          <w:szCs w:val="22"/>
        </w:rPr>
        <w:t>1、附件2</w:t>
      </w:r>
      <w:r>
        <w:rPr>
          <w:rFonts w:hint="eastAsia" w:ascii="Noto Sans Mono CJK JP Regular" w:hAnsi="Noto Sans Mono CJK JP Regular" w:eastAsia="华文细黑" w:cs="Noto Sans Mono CJK JP Regular"/>
          <w:kern w:val="0"/>
          <w:sz w:val="24"/>
          <w:szCs w:val="22"/>
          <w:lang w:val="zh-CN"/>
        </w:rPr>
        <w:t>。</w:t>
      </w:r>
    </w:p>
    <w:p>
      <w:pPr>
        <w:spacing w:line="360" w:lineRule="auto"/>
        <w:ind w:firstLine="480" w:firstLineChars="200"/>
        <w:rPr>
          <w:rFonts w:hint="eastAsia" w:ascii="Noto Sans Mono CJK JP Regular" w:hAnsi="Noto Sans Mono CJK JP Regular" w:eastAsia="华文细黑" w:cs="Noto Sans Mono CJK JP Regular"/>
          <w:kern w:val="0"/>
          <w:sz w:val="24"/>
          <w:szCs w:val="22"/>
          <w:lang w:val="zh-CN"/>
        </w:rPr>
      </w:pPr>
      <w:r>
        <w:rPr>
          <w:rFonts w:hint="eastAsia" w:ascii="Noto Sans Mono CJK JP Regular" w:hAnsi="Noto Sans Mono CJK JP Regular" w:eastAsia="华文细黑" w:cs="Noto Sans Mono CJK JP Regular"/>
          <w:kern w:val="0"/>
          <w:sz w:val="24"/>
          <w:szCs w:val="22"/>
          <w:lang w:val="zh-CN"/>
        </w:rPr>
        <w:t>2.参赛选手自带工具、材料清单表</w:t>
      </w:r>
    </w:p>
    <w:p>
      <w:pPr>
        <w:spacing w:line="360" w:lineRule="auto"/>
        <w:ind w:firstLine="480" w:firstLineChars="200"/>
        <w:jc w:val="center"/>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参赛选手自带工具清单表</w:t>
      </w:r>
    </w:p>
    <w:tbl>
      <w:tblPr>
        <w:tblStyle w:val="13"/>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20"/>
        <w:gridCol w:w="1593"/>
        <w:gridCol w:w="2955"/>
        <w:gridCol w:w="29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 w:hRule="atLeast"/>
          <w:jc w:val="center"/>
        </w:trPr>
        <w:tc>
          <w:tcPr>
            <w:tcW w:w="598" w:type="pct"/>
            <w:vAlign w:val="center"/>
          </w:tcPr>
          <w:p>
            <w:pPr>
              <w:pStyle w:val="4"/>
              <w:rPr>
                <w:rFonts w:hint="eastAsia" w:ascii="Noto Sans Mono CJK JP Regular" w:hAnsi="Noto Sans Mono CJK JP Regular" w:eastAsia="华文细黑" w:cs="Noto Sans Mono CJK JP Regular"/>
                <w:b/>
                <w:bCs/>
                <w:kern w:val="0"/>
                <w:szCs w:val="21"/>
              </w:rPr>
            </w:pPr>
            <w:r>
              <w:rPr>
                <w:rFonts w:hint="eastAsia" w:ascii="宋体" w:cs="宋体"/>
                <w:b/>
                <w:bCs/>
                <w:kern w:val="0"/>
                <w:szCs w:val="21"/>
              </w:rPr>
              <w:t>序号</w:t>
            </w:r>
          </w:p>
        </w:tc>
        <w:tc>
          <w:tcPr>
            <w:tcW w:w="934" w:type="pct"/>
            <w:vAlign w:val="center"/>
          </w:tcPr>
          <w:p>
            <w:pPr>
              <w:pStyle w:val="4"/>
              <w:rPr>
                <w:rFonts w:hint="eastAsia" w:ascii="Noto Sans Mono CJK JP Regular" w:hAnsi="Noto Sans Mono CJK JP Regular" w:eastAsia="华文细黑" w:cs="Noto Sans Mono CJK JP Regular"/>
                <w:b/>
                <w:bCs/>
                <w:kern w:val="0"/>
                <w:szCs w:val="21"/>
              </w:rPr>
            </w:pPr>
            <w:r>
              <w:rPr>
                <w:rFonts w:hint="eastAsia" w:ascii="Noto Sans Mono CJK JP Regular" w:hAnsi="Noto Sans Mono CJK JP Regular" w:eastAsia="华文细黑" w:cs="Noto Sans Mono CJK JP Regular"/>
                <w:b/>
                <w:bCs/>
                <w:kern w:val="0"/>
                <w:szCs w:val="21"/>
              </w:rPr>
              <w:t>名称</w:t>
            </w:r>
          </w:p>
        </w:tc>
        <w:tc>
          <w:tcPr>
            <w:tcW w:w="1733" w:type="pct"/>
            <w:vAlign w:val="center"/>
          </w:tcPr>
          <w:p>
            <w:pPr>
              <w:pStyle w:val="4"/>
              <w:rPr>
                <w:rFonts w:hint="eastAsia" w:ascii="Noto Sans Mono CJK JP Regular" w:hAnsi="Noto Sans Mono CJK JP Regular" w:eastAsia="华文细黑" w:cs="Noto Sans Mono CJK JP Regular"/>
                <w:b/>
                <w:bCs/>
                <w:kern w:val="0"/>
                <w:szCs w:val="21"/>
              </w:rPr>
            </w:pPr>
            <w:r>
              <w:rPr>
                <w:rFonts w:hint="eastAsia" w:ascii="Noto Sans Mono CJK JP Regular" w:hAnsi="Noto Sans Mono CJK JP Regular" w:eastAsia="华文细黑" w:cs="Noto Sans Mono CJK JP Regular"/>
                <w:b/>
                <w:bCs/>
                <w:kern w:val="0"/>
                <w:szCs w:val="21"/>
              </w:rPr>
              <w:t>数量</w:t>
            </w:r>
          </w:p>
        </w:tc>
        <w:tc>
          <w:tcPr>
            <w:tcW w:w="1734" w:type="pct"/>
            <w:vAlign w:val="center"/>
          </w:tcPr>
          <w:p>
            <w:pPr>
              <w:pStyle w:val="4"/>
              <w:rPr>
                <w:rFonts w:hint="eastAsia" w:ascii="Noto Sans Mono CJK JP Regular" w:hAnsi="Noto Sans Mono CJK JP Regular" w:eastAsia="华文细黑" w:cs="Noto Sans Mono CJK JP Regular"/>
                <w:b/>
                <w:bCs/>
                <w:kern w:val="0"/>
                <w:szCs w:val="21"/>
              </w:rPr>
            </w:pPr>
            <w:r>
              <w:rPr>
                <w:rFonts w:hint="eastAsia" w:ascii="Noto Sans Mono CJK JP Regular" w:hAnsi="Noto Sans Mono CJK JP Regular" w:eastAsia="华文细黑" w:cs="Noto Sans Mono CJK JP Regular"/>
                <w:b/>
                <w:bCs/>
                <w:kern w:val="0"/>
                <w:szCs w:val="21"/>
              </w:rPr>
              <w:t>规格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jc w:val="center"/>
        </w:trPr>
        <w:tc>
          <w:tcPr>
            <w:tcW w:w="598" w:type="pct"/>
            <w:vAlign w:val="center"/>
          </w:tcPr>
          <w:p>
            <w:pPr>
              <w:pStyle w:val="4"/>
              <w:rPr>
                <w:rFonts w:hint="eastAsia" w:ascii="Noto Sans Mono CJK JP Regular" w:hAnsi="Noto Sans Mono CJK JP Regular" w:eastAsia="华文细黑" w:cs="Noto Sans Mono CJK JP Regular"/>
                <w:kern w:val="0"/>
                <w:szCs w:val="21"/>
                <w:lang w:val="zh-CN"/>
              </w:rPr>
            </w:pPr>
            <w:r>
              <w:rPr>
                <w:rFonts w:hint="eastAsia" w:ascii="Noto Sans Mono CJK JP Regular" w:hAnsi="Noto Sans Mono CJK JP Regular" w:eastAsia="华文细黑" w:cs="Noto Sans Mono CJK JP Regular"/>
                <w:kern w:val="0"/>
                <w:szCs w:val="21"/>
                <w:lang w:val="zh-CN"/>
              </w:rPr>
              <w:t>1</w:t>
            </w:r>
          </w:p>
        </w:tc>
        <w:tc>
          <w:tcPr>
            <w:tcW w:w="934" w:type="pct"/>
            <w:vAlign w:val="center"/>
          </w:tcPr>
          <w:p>
            <w:pPr>
              <w:pStyle w:val="4"/>
              <w:rPr>
                <w:rFonts w:hint="eastAsia" w:ascii="Noto Sans Mono CJK JP Regular" w:hAnsi="Noto Sans Mono CJK JP Regular" w:eastAsia="华文细黑" w:cs="Noto Sans Mono CJK JP Regular"/>
                <w:kern w:val="0"/>
                <w:szCs w:val="21"/>
                <w:lang w:val="zh-CN"/>
              </w:rPr>
            </w:pPr>
            <w:r>
              <w:rPr>
                <w:rFonts w:hint="eastAsia" w:ascii="Noto Sans Mono CJK JP Regular" w:hAnsi="Noto Sans Mono CJK JP Regular" w:eastAsia="华文细黑" w:cs="Noto Sans Mono CJK JP Regular"/>
                <w:kern w:val="0"/>
                <w:szCs w:val="21"/>
                <w:lang w:val="zh-CN"/>
              </w:rPr>
              <w:t>万用表</w:t>
            </w:r>
          </w:p>
        </w:tc>
        <w:tc>
          <w:tcPr>
            <w:tcW w:w="1733" w:type="pct"/>
            <w:vAlign w:val="center"/>
          </w:tcPr>
          <w:p>
            <w:pPr>
              <w:pStyle w:val="4"/>
              <w:rPr>
                <w:rFonts w:hint="eastAsia" w:ascii="Noto Sans Mono CJK JP Regular" w:hAnsi="Noto Sans Mono CJK JP Regular" w:eastAsia="华文细黑" w:cs="Noto Sans Mono CJK JP Regular"/>
                <w:kern w:val="0"/>
                <w:szCs w:val="21"/>
                <w:lang w:val="zh-CN"/>
              </w:rPr>
            </w:pPr>
            <w:r>
              <w:rPr>
                <w:rFonts w:hint="eastAsia" w:ascii="Noto Sans Mono CJK JP Regular" w:hAnsi="Noto Sans Mono CJK JP Regular" w:eastAsia="华文细黑" w:cs="Noto Sans Mono CJK JP Regular"/>
                <w:kern w:val="0"/>
                <w:szCs w:val="21"/>
                <w:lang w:val="zh-CN"/>
              </w:rPr>
              <w:t>1只</w:t>
            </w:r>
          </w:p>
        </w:tc>
        <w:tc>
          <w:tcPr>
            <w:tcW w:w="1734" w:type="pct"/>
            <w:vAlign w:val="center"/>
          </w:tcPr>
          <w:p>
            <w:pPr>
              <w:pStyle w:val="4"/>
              <w:rPr>
                <w:rFonts w:hint="eastAsia" w:ascii="Noto Sans Mono CJK JP Regular" w:hAnsi="Noto Sans Mono CJK JP Regular" w:eastAsia="华文细黑" w:cs="Noto Sans Mono CJK JP Regular"/>
                <w:kern w:val="0"/>
                <w:szCs w:val="21"/>
                <w:lang w:val="zh-CN"/>
              </w:rPr>
            </w:pPr>
            <w:r>
              <w:rPr>
                <w:rFonts w:hint="eastAsia" w:ascii="Noto Sans Mono CJK JP Regular" w:hAnsi="Noto Sans Mono CJK JP Regular" w:eastAsia="华文细黑" w:cs="Noto Sans Mono CJK JP Regular"/>
                <w:kern w:val="0"/>
                <w:szCs w:val="21"/>
                <w:lang w:val="zh-CN"/>
              </w:rPr>
              <w:t>VC890D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3" w:hRule="atLeast"/>
          <w:jc w:val="center"/>
        </w:trPr>
        <w:tc>
          <w:tcPr>
            <w:tcW w:w="598" w:type="pct"/>
            <w:vAlign w:val="center"/>
          </w:tcPr>
          <w:p>
            <w:pPr>
              <w:pStyle w:val="4"/>
              <w:rPr>
                <w:rFonts w:hint="eastAsia" w:ascii="Noto Sans Mono CJK JP Regular" w:hAnsi="Noto Sans Mono CJK JP Regular" w:eastAsia="华文细黑" w:cs="Noto Sans Mono CJK JP Regular"/>
                <w:kern w:val="0"/>
                <w:szCs w:val="21"/>
                <w:lang w:val="zh-CN"/>
              </w:rPr>
            </w:pPr>
            <w:r>
              <w:rPr>
                <w:rFonts w:hint="eastAsia" w:ascii="Noto Sans Mono CJK JP Regular" w:hAnsi="Noto Sans Mono CJK JP Regular" w:eastAsia="华文细黑" w:cs="Noto Sans Mono CJK JP Regular"/>
                <w:kern w:val="0"/>
                <w:szCs w:val="21"/>
                <w:lang w:val="zh-CN"/>
              </w:rPr>
              <w:t>2</w:t>
            </w:r>
          </w:p>
        </w:tc>
        <w:tc>
          <w:tcPr>
            <w:tcW w:w="934" w:type="pct"/>
            <w:vAlign w:val="center"/>
          </w:tcPr>
          <w:p>
            <w:pPr>
              <w:pStyle w:val="4"/>
              <w:rPr>
                <w:rFonts w:hint="eastAsia" w:ascii="Noto Sans Mono CJK JP Regular" w:hAnsi="Noto Sans Mono CJK JP Regular" w:eastAsia="华文细黑" w:cs="Noto Sans Mono CJK JP Regular"/>
                <w:kern w:val="0"/>
                <w:szCs w:val="21"/>
                <w:lang w:val="zh-CN"/>
              </w:rPr>
            </w:pPr>
            <w:r>
              <w:rPr>
                <w:rFonts w:hint="eastAsia" w:ascii="Noto Sans Mono CJK JP Regular" w:hAnsi="Noto Sans Mono CJK JP Regular" w:eastAsia="华文细黑" w:cs="Noto Sans Mono CJK JP Regular"/>
                <w:kern w:val="0"/>
                <w:szCs w:val="21"/>
                <w:lang w:val="zh-CN"/>
              </w:rPr>
              <w:t>剥线钳</w:t>
            </w:r>
          </w:p>
        </w:tc>
        <w:tc>
          <w:tcPr>
            <w:tcW w:w="1733" w:type="pct"/>
            <w:vAlign w:val="center"/>
          </w:tcPr>
          <w:p>
            <w:pPr>
              <w:pStyle w:val="4"/>
              <w:rPr>
                <w:rFonts w:hint="eastAsia" w:ascii="Noto Sans Mono CJK JP Regular" w:hAnsi="Noto Sans Mono CJK JP Regular" w:eastAsia="华文细黑" w:cs="Noto Sans Mono CJK JP Regular"/>
                <w:kern w:val="0"/>
                <w:szCs w:val="21"/>
                <w:lang w:val="zh-CN"/>
              </w:rPr>
            </w:pPr>
            <w:r>
              <w:rPr>
                <w:rFonts w:hint="eastAsia" w:ascii="Noto Sans Mono CJK JP Regular" w:hAnsi="Noto Sans Mono CJK JP Regular" w:eastAsia="华文细黑" w:cs="Noto Sans Mono CJK JP Regular"/>
                <w:kern w:val="0"/>
                <w:szCs w:val="21"/>
                <w:lang w:val="zh-CN"/>
              </w:rPr>
              <w:t>1把</w:t>
            </w:r>
          </w:p>
        </w:tc>
        <w:tc>
          <w:tcPr>
            <w:tcW w:w="1734" w:type="pct"/>
            <w:vAlign w:val="center"/>
          </w:tcPr>
          <w:p>
            <w:pPr>
              <w:pStyle w:val="4"/>
              <w:rPr>
                <w:rFonts w:hint="eastAsia" w:ascii="Noto Sans Mono CJK JP Regular" w:hAnsi="Noto Sans Mono CJK JP Regular" w:eastAsia="华文细黑" w:cs="Noto Sans Mono CJK JP Regular"/>
                <w:kern w:val="0"/>
                <w:szCs w:val="21"/>
                <w:lang w:val="zh-CN"/>
              </w:rPr>
            </w:pPr>
            <w:r>
              <w:rPr>
                <w:rFonts w:hint="eastAsia" w:ascii="Noto Sans Mono CJK JP Regular" w:hAnsi="Noto Sans Mono CJK JP Regular" w:eastAsia="华文细黑" w:cs="Noto Sans Mono CJK JP Regular"/>
                <w:kern w:val="0"/>
                <w:szCs w:val="21"/>
                <w:lang w:val="zh-CN"/>
              </w:rPr>
              <w:t>YS-1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63" w:hRule="atLeast"/>
          <w:jc w:val="center"/>
        </w:trPr>
        <w:tc>
          <w:tcPr>
            <w:tcW w:w="598" w:type="pct"/>
            <w:vAlign w:val="center"/>
          </w:tcPr>
          <w:p>
            <w:pPr>
              <w:pStyle w:val="4"/>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3</w:t>
            </w:r>
          </w:p>
        </w:tc>
        <w:tc>
          <w:tcPr>
            <w:tcW w:w="934" w:type="pct"/>
            <w:vAlign w:val="center"/>
          </w:tcPr>
          <w:p>
            <w:pPr>
              <w:pStyle w:val="4"/>
              <w:rPr>
                <w:rFonts w:hint="eastAsia" w:ascii="Noto Sans Mono CJK JP Regular" w:hAnsi="Noto Sans Mono CJK JP Regular" w:eastAsia="华文细黑" w:cs="Noto Sans Mono CJK JP Regular"/>
                <w:kern w:val="0"/>
                <w:szCs w:val="21"/>
                <w:lang w:val="zh-CN"/>
              </w:rPr>
            </w:pPr>
            <w:r>
              <w:rPr>
                <w:rFonts w:hint="eastAsia" w:ascii="Noto Sans Mono CJK JP Regular" w:hAnsi="Noto Sans Mono CJK JP Regular" w:eastAsia="华文细黑" w:cs="Noto Sans Mono CJK JP Regular"/>
                <w:kern w:val="0"/>
                <w:szCs w:val="21"/>
                <w:lang w:val="zh-CN"/>
              </w:rPr>
              <w:t>压线钳</w:t>
            </w:r>
          </w:p>
        </w:tc>
        <w:tc>
          <w:tcPr>
            <w:tcW w:w="1733" w:type="pct"/>
            <w:vAlign w:val="center"/>
          </w:tcPr>
          <w:p>
            <w:pPr>
              <w:pStyle w:val="4"/>
              <w:rPr>
                <w:rFonts w:hint="eastAsia" w:ascii="Noto Sans Mono CJK JP Regular" w:hAnsi="Noto Sans Mono CJK JP Regular" w:eastAsia="华文细黑" w:cs="Noto Sans Mono CJK JP Regular"/>
                <w:kern w:val="0"/>
                <w:szCs w:val="21"/>
                <w:lang w:val="zh-CN"/>
              </w:rPr>
            </w:pPr>
            <w:r>
              <w:rPr>
                <w:rFonts w:hint="eastAsia" w:ascii="Noto Sans Mono CJK JP Regular" w:hAnsi="Noto Sans Mono CJK JP Regular" w:eastAsia="华文细黑" w:cs="Noto Sans Mono CJK JP Regular"/>
                <w:kern w:val="0"/>
                <w:szCs w:val="21"/>
                <w:lang w:val="zh-CN"/>
              </w:rPr>
              <w:t>1把</w:t>
            </w:r>
          </w:p>
        </w:tc>
        <w:tc>
          <w:tcPr>
            <w:tcW w:w="1734" w:type="pct"/>
            <w:vAlign w:val="center"/>
          </w:tcPr>
          <w:p>
            <w:pPr>
              <w:pStyle w:val="4"/>
              <w:rPr>
                <w:rFonts w:hint="eastAsia" w:ascii="Noto Sans Mono CJK JP Regular" w:hAnsi="Noto Sans Mono CJK JP Regular" w:eastAsia="华文细黑" w:cs="Noto Sans Mono CJK JP Regular"/>
                <w:kern w:val="0"/>
                <w:szCs w:val="21"/>
                <w:lang w:val="zh-CN"/>
              </w:rPr>
            </w:pPr>
            <w:r>
              <w:rPr>
                <w:rFonts w:hint="eastAsia" w:ascii="Noto Sans Mono CJK JP Regular" w:hAnsi="Noto Sans Mono CJK JP Regular" w:eastAsia="华文细黑" w:cs="Noto Sans Mono CJK JP Regular"/>
                <w:kern w:val="0"/>
                <w:szCs w:val="21"/>
                <w:lang w:val="zh-CN"/>
              </w:rPr>
              <w:t>HS-06W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3" w:hRule="atLeast"/>
          <w:jc w:val="center"/>
        </w:trPr>
        <w:tc>
          <w:tcPr>
            <w:tcW w:w="598" w:type="pct"/>
            <w:vAlign w:val="center"/>
          </w:tcPr>
          <w:p>
            <w:pPr>
              <w:pStyle w:val="4"/>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4</w:t>
            </w:r>
          </w:p>
        </w:tc>
        <w:tc>
          <w:tcPr>
            <w:tcW w:w="934" w:type="pct"/>
            <w:vAlign w:val="center"/>
          </w:tcPr>
          <w:p>
            <w:pPr>
              <w:pStyle w:val="4"/>
              <w:rPr>
                <w:rFonts w:hint="eastAsia" w:ascii="Noto Sans Mono CJK JP Regular" w:hAnsi="Noto Sans Mono CJK JP Regular" w:eastAsia="华文细黑" w:cs="Noto Sans Mono CJK JP Regular"/>
                <w:kern w:val="0"/>
                <w:szCs w:val="21"/>
                <w:lang w:val="zh-CN"/>
              </w:rPr>
            </w:pPr>
            <w:r>
              <w:rPr>
                <w:rFonts w:hint="eastAsia" w:ascii="Noto Sans Mono CJK JP Regular" w:hAnsi="Noto Sans Mono CJK JP Regular" w:eastAsia="华文细黑" w:cs="Noto Sans Mono CJK JP Regular"/>
                <w:kern w:val="0"/>
                <w:szCs w:val="21"/>
                <w:lang w:val="zh-CN"/>
              </w:rPr>
              <w:t>斜口钳</w:t>
            </w:r>
          </w:p>
        </w:tc>
        <w:tc>
          <w:tcPr>
            <w:tcW w:w="1733" w:type="pct"/>
            <w:vAlign w:val="center"/>
          </w:tcPr>
          <w:p>
            <w:pPr>
              <w:pStyle w:val="4"/>
              <w:rPr>
                <w:rFonts w:hint="eastAsia" w:ascii="Noto Sans Mono CJK JP Regular" w:hAnsi="Noto Sans Mono CJK JP Regular" w:eastAsia="华文细黑" w:cs="Noto Sans Mono CJK JP Regular"/>
                <w:kern w:val="0"/>
                <w:szCs w:val="21"/>
                <w:lang w:val="zh-CN"/>
              </w:rPr>
            </w:pPr>
            <w:r>
              <w:rPr>
                <w:rFonts w:hint="eastAsia" w:ascii="Noto Sans Mono CJK JP Regular" w:hAnsi="Noto Sans Mono CJK JP Regular" w:eastAsia="华文细黑" w:cs="Noto Sans Mono CJK JP Regular"/>
                <w:kern w:val="0"/>
                <w:szCs w:val="21"/>
                <w:lang w:val="zh-CN"/>
              </w:rPr>
              <w:t>1把</w:t>
            </w:r>
          </w:p>
        </w:tc>
        <w:tc>
          <w:tcPr>
            <w:tcW w:w="1734" w:type="pct"/>
            <w:vAlign w:val="center"/>
          </w:tcPr>
          <w:p>
            <w:pPr>
              <w:pStyle w:val="4"/>
              <w:rPr>
                <w:rFonts w:hint="eastAsia" w:ascii="Noto Sans Mono CJK JP Regular" w:hAnsi="Noto Sans Mono CJK JP Regular" w:eastAsia="华文细黑" w:cs="Noto Sans Mono CJK JP Regular"/>
                <w:kern w:val="0"/>
                <w:szCs w:val="21"/>
                <w:lang w:val="zh-CN"/>
              </w:rPr>
            </w:pPr>
            <w:r>
              <w:rPr>
                <w:rFonts w:hint="eastAsia" w:ascii="Noto Sans Mono CJK JP Regular" w:hAnsi="Noto Sans Mono CJK JP Regular" w:eastAsia="华文细黑" w:cs="Noto Sans Mono CJK JP Regular"/>
                <w:kern w:val="0"/>
                <w:szCs w:val="21"/>
                <w:lang w:val="zh-CN"/>
              </w:rPr>
              <w:t>DL2336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3" w:hRule="atLeast"/>
          <w:jc w:val="center"/>
        </w:trPr>
        <w:tc>
          <w:tcPr>
            <w:tcW w:w="598" w:type="pct"/>
            <w:vAlign w:val="center"/>
          </w:tcPr>
          <w:p>
            <w:pPr>
              <w:pStyle w:val="4"/>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5</w:t>
            </w:r>
          </w:p>
        </w:tc>
        <w:tc>
          <w:tcPr>
            <w:tcW w:w="934" w:type="pct"/>
            <w:vAlign w:val="center"/>
          </w:tcPr>
          <w:p>
            <w:pPr>
              <w:pStyle w:val="4"/>
              <w:rPr>
                <w:rFonts w:hint="eastAsia" w:ascii="Noto Sans Mono CJK JP Regular" w:hAnsi="Noto Sans Mono CJK JP Regular" w:eastAsia="华文细黑" w:cs="Noto Sans Mono CJK JP Regular"/>
                <w:kern w:val="0"/>
                <w:szCs w:val="21"/>
                <w:lang w:val="zh-CN"/>
              </w:rPr>
            </w:pPr>
            <w:r>
              <w:rPr>
                <w:rFonts w:hint="eastAsia" w:ascii="Noto Sans Mono CJK JP Regular" w:hAnsi="Noto Sans Mono CJK JP Regular" w:eastAsia="华文细黑" w:cs="Noto Sans Mono CJK JP Regular"/>
                <w:kern w:val="0"/>
                <w:szCs w:val="21"/>
                <w:lang w:val="zh-CN"/>
              </w:rPr>
              <w:t>尖嘴钳</w:t>
            </w:r>
          </w:p>
        </w:tc>
        <w:tc>
          <w:tcPr>
            <w:tcW w:w="1733" w:type="pct"/>
            <w:vAlign w:val="center"/>
          </w:tcPr>
          <w:p>
            <w:pPr>
              <w:pStyle w:val="4"/>
              <w:rPr>
                <w:rFonts w:hint="eastAsia" w:ascii="Noto Sans Mono CJK JP Regular" w:hAnsi="Noto Sans Mono CJK JP Regular" w:eastAsia="华文细黑" w:cs="Noto Sans Mono CJK JP Regular"/>
                <w:kern w:val="0"/>
                <w:szCs w:val="21"/>
                <w:lang w:val="zh-CN"/>
              </w:rPr>
            </w:pPr>
            <w:r>
              <w:rPr>
                <w:rFonts w:hint="eastAsia" w:ascii="Noto Sans Mono CJK JP Regular" w:hAnsi="Noto Sans Mono CJK JP Regular" w:eastAsia="华文细黑" w:cs="Noto Sans Mono CJK JP Regular"/>
                <w:kern w:val="0"/>
                <w:szCs w:val="21"/>
                <w:lang w:val="zh-CN"/>
              </w:rPr>
              <w:t>1把</w:t>
            </w:r>
          </w:p>
        </w:tc>
        <w:tc>
          <w:tcPr>
            <w:tcW w:w="1734" w:type="pct"/>
            <w:vAlign w:val="center"/>
          </w:tcPr>
          <w:p>
            <w:pPr>
              <w:pStyle w:val="4"/>
              <w:rPr>
                <w:rFonts w:hint="eastAsia" w:ascii="Noto Sans Mono CJK JP Regular" w:hAnsi="Noto Sans Mono CJK JP Regular" w:eastAsia="华文细黑" w:cs="Noto Sans Mono CJK JP Regular"/>
                <w:kern w:val="0"/>
                <w:szCs w:val="21"/>
                <w:lang w:val="zh-CN"/>
              </w:rPr>
            </w:pPr>
            <w:r>
              <w:rPr>
                <w:rFonts w:hint="eastAsia" w:ascii="Noto Sans Mono CJK JP Regular" w:hAnsi="Noto Sans Mono CJK JP Regular" w:eastAsia="华文细黑" w:cs="Noto Sans Mono CJK JP Regular"/>
                <w:kern w:val="0"/>
                <w:szCs w:val="21"/>
                <w:lang w:val="zh-CN"/>
              </w:rPr>
              <w:t>DL22306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3" w:hRule="atLeast"/>
          <w:jc w:val="center"/>
        </w:trPr>
        <w:tc>
          <w:tcPr>
            <w:tcW w:w="598" w:type="pct"/>
            <w:vAlign w:val="center"/>
          </w:tcPr>
          <w:p>
            <w:pPr>
              <w:pStyle w:val="4"/>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6</w:t>
            </w:r>
          </w:p>
        </w:tc>
        <w:tc>
          <w:tcPr>
            <w:tcW w:w="934" w:type="pct"/>
            <w:vAlign w:val="center"/>
          </w:tcPr>
          <w:p>
            <w:pPr>
              <w:pStyle w:val="4"/>
              <w:rPr>
                <w:rFonts w:hint="eastAsia" w:ascii="Noto Sans Mono CJK JP Regular" w:hAnsi="Noto Sans Mono CJK JP Regular" w:eastAsia="华文细黑" w:cs="Noto Sans Mono CJK JP Regular"/>
                <w:kern w:val="0"/>
                <w:szCs w:val="21"/>
                <w:lang w:val="zh-CN"/>
              </w:rPr>
            </w:pPr>
            <w:r>
              <w:rPr>
                <w:rFonts w:hint="eastAsia" w:ascii="Noto Sans Mono CJK JP Regular" w:hAnsi="Noto Sans Mono CJK JP Regular" w:eastAsia="华文细黑" w:cs="Noto Sans Mono CJK JP Regular"/>
                <w:kern w:val="0"/>
                <w:szCs w:val="21"/>
                <w:lang w:val="zh-CN"/>
              </w:rPr>
              <w:t>剪刀</w:t>
            </w:r>
          </w:p>
        </w:tc>
        <w:tc>
          <w:tcPr>
            <w:tcW w:w="1733" w:type="pct"/>
            <w:vAlign w:val="center"/>
          </w:tcPr>
          <w:p>
            <w:pPr>
              <w:pStyle w:val="4"/>
              <w:rPr>
                <w:rFonts w:hint="eastAsia" w:ascii="Noto Sans Mono CJK JP Regular" w:hAnsi="Noto Sans Mono CJK JP Regular" w:eastAsia="华文细黑" w:cs="Noto Sans Mono CJK JP Regular"/>
                <w:kern w:val="0"/>
                <w:szCs w:val="21"/>
                <w:lang w:val="zh-CN"/>
              </w:rPr>
            </w:pPr>
            <w:r>
              <w:rPr>
                <w:rFonts w:hint="eastAsia" w:ascii="Noto Sans Mono CJK JP Regular" w:hAnsi="Noto Sans Mono CJK JP Regular" w:eastAsia="华文细黑" w:cs="Noto Sans Mono CJK JP Regular"/>
                <w:kern w:val="0"/>
                <w:szCs w:val="21"/>
                <w:lang w:val="zh-CN"/>
              </w:rPr>
              <w:t>1把</w:t>
            </w:r>
          </w:p>
        </w:tc>
        <w:tc>
          <w:tcPr>
            <w:tcW w:w="1734" w:type="pct"/>
            <w:vAlign w:val="center"/>
          </w:tcPr>
          <w:p>
            <w:pPr>
              <w:pStyle w:val="4"/>
              <w:rPr>
                <w:rFonts w:hint="eastAsia" w:ascii="Noto Sans Mono CJK JP Regular" w:hAnsi="Noto Sans Mono CJK JP Regular" w:eastAsia="华文细黑" w:cs="Noto Sans Mono CJK JP Regular"/>
                <w:kern w:val="0"/>
                <w:szCs w:val="21"/>
                <w:lang w:val="zh-CN"/>
              </w:rPr>
            </w:pPr>
            <w:r>
              <w:rPr>
                <w:rFonts w:hint="eastAsia" w:ascii="Noto Sans Mono CJK JP Regular" w:hAnsi="Noto Sans Mono CJK JP Regular" w:eastAsia="华文细黑" w:cs="Noto Sans Mono CJK JP Regular"/>
                <w:kern w:val="0"/>
                <w:szCs w:val="21"/>
                <w:lang w:val="zh-CN"/>
              </w:rPr>
              <w:t>民用型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63" w:hRule="atLeast"/>
          <w:jc w:val="center"/>
        </w:trPr>
        <w:tc>
          <w:tcPr>
            <w:tcW w:w="598" w:type="pct"/>
            <w:vAlign w:val="center"/>
          </w:tcPr>
          <w:p>
            <w:pPr>
              <w:pStyle w:val="4"/>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7</w:t>
            </w:r>
          </w:p>
        </w:tc>
        <w:tc>
          <w:tcPr>
            <w:tcW w:w="934" w:type="pct"/>
            <w:vAlign w:val="center"/>
          </w:tcPr>
          <w:p>
            <w:pPr>
              <w:pStyle w:val="4"/>
              <w:rPr>
                <w:rFonts w:hint="eastAsia" w:ascii="Noto Sans Mono CJK JP Regular" w:hAnsi="Noto Sans Mono CJK JP Regular" w:eastAsia="华文细黑" w:cs="Noto Sans Mono CJK JP Regular"/>
                <w:kern w:val="0"/>
                <w:szCs w:val="21"/>
                <w:lang w:val="zh-CN"/>
              </w:rPr>
            </w:pPr>
            <w:r>
              <w:rPr>
                <w:rFonts w:hint="eastAsia" w:ascii="Noto Sans Mono CJK JP Regular" w:hAnsi="Noto Sans Mono CJK JP Regular" w:eastAsia="华文细黑" w:cs="Noto Sans Mono CJK JP Regular"/>
                <w:kern w:val="0"/>
                <w:szCs w:val="21"/>
                <w:lang w:val="zh-CN"/>
              </w:rPr>
              <w:t>十字螺丝刀</w:t>
            </w:r>
          </w:p>
        </w:tc>
        <w:tc>
          <w:tcPr>
            <w:tcW w:w="1733" w:type="pct"/>
            <w:vAlign w:val="center"/>
          </w:tcPr>
          <w:p>
            <w:pPr>
              <w:pStyle w:val="4"/>
              <w:rPr>
                <w:rFonts w:hint="eastAsia" w:ascii="Noto Sans Mono CJK JP Regular" w:hAnsi="Noto Sans Mono CJK JP Regular" w:eastAsia="华文细黑" w:cs="Noto Sans Mono CJK JP Regular"/>
                <w:kern w:val="0"/>
                <w:szCs w:val="21"/>
                <w:lang w:val="zh-CN"/>
              </w:rPr>
            </w:pPr>
            <w:r>
              <w:rPr>
                <w:rFonts w:hint="eastAsia" w:ascii="Noto Sans Mono CJK JP Regular" w:hAnsi="Noto Sans Mono CJK JP Regular" w:eastAsia="华文细黑" w:cs="Noto Sans Mono CJK JP Regular"/>
                <w:kern w:val="0"/>
                <w:szCs w:val="21"/>
                <w:lang w:val="zh-CN"/>
              </w:rPr>
              <w:t>各1把</w:t>
            </w:r>
          </w:p>
        </w:tc>
        <w:tc>
          <w:tcPr>
            <w:tcW w:w="1734" w:type="pct"/>
            <w:vAlign w:val="center"/>
          </w:tcPr>
          <w:p>
            <w:pPr>
              <w:pStyle w:val="4"/>
              <w:rPr>
                <w:rFonts w:hint="eastAsia" w:ascii="Noto Sans Mono CJK JP Regular" w:hAnsi="Noto Sans Mono CJK JP Regular" w:eastAsia="华文细黑" w:cs="Noto Sans Mono CJK JP Regular"/>
                <w:kern w:val="0"/>
                <w:szCs w:val="21"/>
                <w:lang w:val="zh-CN"/>
              </w:rPr>
            </w:pPr>
            <w:r>
              <w:rPr>
                <w:rFonts w:hint="eastAsia" w:ascii="Noto Sans Mono CJK JP Regular" w:hAnsi="Noto Sans Mono CJK JP Regular" w:eastAsia="华文细黑" w:cs="Noto Sans Mono CJK JP Regular"/>
                <w:kern w:val="0"/>
                <w:szCs w:val="21"/>
                <w:lang w:val="zh-CN"/>
              </w:rPr>
              <w:t>3×50、5×75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3" w:hRule="atLeast"/>
          <w:jc w:val="center"/>
        </w:trPr>
        <w:tc>
          <w:tcPr>
            <w:tcW w:w="598" w:type="pct"/>
            <w:vAlign w:val="center"/>
          </w:tcPr>
          <w:p>
            <w:pPr>
              <w:pStyle w:val="4"/>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8</w:t>
            </w:r>
          </w:p>
        </w:tc>
        <w:tc>
          <w:tcPr>
            <w:tcW w:w="934" w:type="pct"/>
            <w:vAlign w:val="center"/>
          </w:tcPr>
          <w:p>
            <w:pPr>
              <w:pStyle w:val="4"/>
              <w:rPr>
                <w:rFonts w:hint="eastAsia" w:ascii="Noto Sans Mono CJK JP Regular" w:hAnsi="Noto Sans Mono CJK JP Regular" w:eastAsia="华文细黑" w:cs="Noto Sans Mono CJK JP Regular"/>
                <w:kern w:val="0"/>
                <w:szCs w:val="21"/>
                <w:lang w:val="zh-CN"/>
              </w:rPr>
            </w:pPr>
            <w:r>
              <w:rPr>
                <w:rFonts w:hint="eastAsia" w:ascii="Noto Sans Mono CJK JP Regular" w:hAnsi="Noto Sans Mono CJK JP Regular" w:eastAsia="华文细黑" w:cs="Noto Sans Mono CJK JP Regular"/>
                <w:kern w:val="0"/>
                <w:szCs w:val="21"/>
                <w:lang w:val="zh-CN"/>
              </w:rPr>
              <w:t>一字螺丝刀</w:t>
            </w:r>
          </w:p>
        </w:tc>
        <w:tc>
          <w:tcPr>
            <w:tcW w:w="1733" w:type="pct"/>
            <w:vAlign w:val="center"/>
          </w:tcPr>
          <w:p>
            <w:pPr>
              <w:pStyle w:val="4"/>
              <w:rPr>
                <w:rFonts w:hint="eastAsia" w:ascii="Noto Sans Mono CJK JP Regular" w:hAnsi="Noto Sans Mono CJK JP Regular" w:eastAsia="华文细黑" w:cs="Noto Sans Mono CJK JP Regular"/>
                <w:kern w:val="0"/>
                <w:szCs w:val="21"/>
                <w:lang w:val="zh-CN"/>
              </w:rPr>
            </w:pPr>
            <w:r>
              <w:rPr>
                <w:rFonts w:hint="eastAsia" w:ascii="Noto Sans Mono CJK JP Regular" w:hAnsi="Noto Sans Mono CJK JP Regular" w:eastAsia="华文细黑" w:cs="Noto Sans Mono CJK JP Regular"/>
                <w:kern w:val="0"/>
                <w:szCs w:val="21"/>
                <w:lang w:val="zh-CN"/>
              </w:rPr>
              <w:t>各1把</w:t>
            </w:r>
          </w:p>
        </w:tc>
        <w:tc>
          <w:tcPr>
            <w:tcW w:w="1734" w:type="pct"/>
            <w:vAlign w:val="center"/>
          </w:tcPr>
          <w:p>
            <w:pPr>
              <w:pStyle w:val="4"/>
              <w:rPr>
                <w:rFonts w:hint="eastAsia" w:ascii="Noto Sans Mono CJK JP Regular" w:hAnsi="Noto Sans Mono CJK JP Regular" w:eastAsia="华文细黑" w:cs="Noto Sans Mono CJK JP Regular"/>
                <w:kern w:val="0"/>
                <w:szCs w:val="21"/>
                <w:lang w:val="zh-CN"/>
              </w:rPr>
            </w:pPr>
            <w:r>
              <w:rPr>
                <w:rFonts w:hint="eastAsia" w:ascii="Noto Sans Mono CJK JP Regular" w:hAnsi="Noto Sans Mono CJK JP Regular" w:eastAsia="华文细黑" w:cs="Noto Sans Mono CJK JP Regular"/>
                <w:kern w:val="0"/>
                <w:szCs w:val="21"/>
                <w:lang w:val="zh-CN"/>
              </w:rPr>
              <w:t>3×50、5×75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3" w:hRule="atLeast"/>
          <w:jc w:val="center"/>
        </w:trPr>
        <w:tc>
          <w:tcPr>
            <w:tcW w:w="598" w:type="pct"/>
            <w:vAlign w:val="center"/>
          </w:tcPr>
          <w:p>
            <w:pPr>
              <w:pStyle w:val="4"/>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9</w:t>
            </w:r>
          </w:p>
        </w:tc>
        <w:tc>
          <w:tcPr>
            <w:tcW w:w="934" w:type="pct"/>
            <w:vAlign w:val="center"/>
          </w:tcPr>
          <w:p>
            <w:pPr>
              <w:pStyle w:val="4"/>
              <w:rPr>
                <w:rFonts w:hint="eastAsia" w:ascii="Noto Sans Mono CJK JP Regular" w:hAnsi="Noto Sans Mono CJK JP Regular" w:eastAsia="华文细黑" w:cs="Noto Sans Mono CJK JP Regular"/>
                <w:kern w:val="0"/>
                <w:szCs w:val="21"/>
                <w:lang w:val="zh-CN"/>
              </w:rPr>
            </w:pPr>
            <w:r>
              <w:rPr>
                <w:rFonts w:hint="eastAsia" w:ascii="Noto Sans Mono CJK JP Regular" w:hAnsi="Noto Sans Mono CJK JP Regular" w:eastAsia="华文细黑" w:cs="Noto Sans Mono CJK JP Regular"/>
                <w:kern w:val="0"/>
                <w:szCs w:val="21"/>
                <w:lang w:val="zh-CN"/>
              </w:rPr>
              <w:t>工具箱</w:t>
            </w:r>
          </w:p>
        </w:tc>
        <w:tc>
          <w:tcPr>
            <w:tcW w:w="1733" w:type="pct"/>
            <w:vAlign w:val="center"/>
          </w:tcPr>
          <w:p>
            <w:pPr>
              <w:pStyle w:val="4"/>
              <w:rPr>
                <w:rFonts w:hint="eastAsia" w:ascii="Noto Sans Mono CJK JP Regular" w:hAnsi="Noto Sans Mono CJK JP Regular" w:eastAsia="华文细黑" w:cs="Noto Sans Mono CJK JP Regular"/>
                <w:kern w:val="0"/>
                <w:szCs w:val="21"/>
                <w:lang w:val="zh-CN"/>
              </w:rPr>
            </w:pPr>
            <w:r>
              <w:rPr>
                <w:rFonts w:hint="eastAsia" w:ascii="Noto Sans Mono CJK JP Regular" w:hAnsi="Noto Sans Mono CJK JP Regular" w:eastAsia="华文细黑" w:cs="Noto Sans Mono CJK JP Regular"/>
                <w:kern w:val="0"/>
                <w:szCs w:val="21"/>
                <w:lang w:val="zh-CN"/>
              </w:rPr>
              <w:t>1个</w:t>
            </w:r>
          </w:p>
        </w:tc>
        <w:tc>
          <w:tcPr>
            <w:tcW w:w="1734" w:type="pct"/>
            <w:vAlign w:val="center"/>
          </w:tcPr>
          <w:p>
            <w:pPr>
              <w:pStyle w:val="4"/>
              <w:rPr>
                <w:rFonts w:hint="eastAsia" w:ascii="Noto Sans Mono CJK JP Regular" w:hAnsi="Noto Sans Mono CJK JP Regular" w:eastAsia="华文细黑" w:cs="Noto Sans Mono CJK JP Regular"/>
                <w:kern w:val="0"/>
                <w:szCs w:val="21"/>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3" w:hRule="atLeast"/>
          <w:jc w:val="center"/>
        </w:trPr>
        <w:tc>
          <w:tcPr>
            <w:tcW w:w="598" w:type="pct"/>
            <w:vAlign w:val="center"/>
          </w:tcPr>
          <w:p>
            <w:pPr>
              <w:pStyle w:val="4"/>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10</w:t>
            </w:r>
          </w:p>
        </w:tc>
        <w:tc>
          <w:tcPr>
            <w:tcW w:w="934" w:type="pct"/>
            <w:vAlign w:val="center"/>
          </w:tcPr>
          <w:p>
            <w:pPr>
              <w:pStyle w:val="4"/>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lang w:val="zh-CN"/>
              </w:rPr>
              <w:t>文具</w:t>
            </w:r>
          </w:p>
        </w:tc>
        <w:tc>
          <w:tcPr>
            <w:tcW w:w="1733" w:type="pct"/>
            <w:vAlign w:val="center"/>
          </w:tcPr>
          <w:p>
            <w:pPr>
              <w:pStyle w:val="4"/>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lang w:val="zh-CN"/>
              </w:rPr>
              <w:t>若干</w:t>
            </w:r>
          </w:p>
        </w:tc>
        <w:tc>
          <w:tcPr>
            <w:tcW w:w="1734" w:type="pct"/>
            <w:vAlign w:val="center"/>
          </w:tcPr>
          <w:p>
            <w:pPr>
              <w:pStyle w:val="4"/>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lang w:val="zh-CN"/>
              </w:rPr>
              <w:t>笔、尺、普通计算器等</w:t>
            </w:r>
          </w:p>
        </w:tc>
      </w:tr>
    </w:tbl>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3.竞赛场地禁止自带使用的设备和材料</w:t>
      </w:r>
    </w:p>
    <w:p>
      <w:pPr>
        <w:spacing w:line="360" w:lineRule="auto"/>
        <w:ind w:firstLine="480" w:firstLineChars="200"/>
        <w:jc w:val="center"/>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参赛选手禁止自带的设备和材料清单表</w:t>
      </w:r>
    </w:p>
    <w:tbl>
      <w:tblPr>
        <w:tblStyle w:val="13"/>
        <w:tblW w:w="499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86"/>
        <w:gridCol w:w="71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 w:hRule="atLeast"/>
          <w:jc w:val="center"/>
        </w:trPr>
        <w:tc>
          <w:tcPr>
            <w:tcW w:w="813" w:type="pct"/>
            <w:vAlign w:val="center"/>
          </w:tcPr>
          <w:p>
            <w:pPr>
              <w:pStyle w:val="4"/>
              <w:rPr>
                <w:rFonts w:hint="eastAsia" w:ascii="Noto Sans Mono CJK JP Regular" w:hAnsi="Noto Sans Mono CJK JP Regular" w:eastAsia="华文细黑" w:cs="Noto Sans Mono CJK JP Regular"/>
                <w:b/>
                <w:bCs/>
                <w:kern w:val="0"/>
                <w:szCs w:val="21"/>
              </w:rPr>
            </w:pPr>
            <w:r>
              <w:rPr>
                <w:rFonts w:hint="eastAsia" w:ascii="宋体" w:cs="宋体"/>
                <w:b/>
                <w:bCs/>
                <w:kern w:val="0"/>
                <w:szCs w:val="21"/>
              </w:rPr>
              <w:t>序号</w:t>
            </w:r>
          </w:p>
        </w:tc>
        <w:tc>
          <w:tcPr>
            <w:tcW w:w="4186" w:type="pct"/>
            <w:vAlign w:val="center"/>
          </w:tcPr>
          <w:p>
            <w:pPr>
              <w:pStyle w:val="4"/>
              <w:rPr>
                <w:rFonts w:hint="eastAsia" w:ascii="Noto Sans Mono CJK JP Regular" w:hAnsi="Noto Sans Mono CJK JP Regular" w:eastAsia="华文细黑" w:cs="Noto Sans Mono CJK JP Regular"/>
                <w:b/>
                <w:bCs/>
                <w:kern w:val="0"/>
                <w:szCs w:val="21"/>
              </w:rPr>
            </w:pPr>
            <w:r>
              <w:rPr>
                <w:rFonts w:hint="eastAsia" w:ascii="Noto Sans Mono CJK JP Regular" w:hAnsi="Noto Sans Mono CJK JP Regular" w:eastAsia="华文细黑" w:cs="Noto Sans Mono CJK JP Regular"/>
                <w:b/>
                <w:bCs/>
                <w:kern w:val="0"/>
                <w:szCs w:val="21"/>
              </w:rPr>
              <w:t>设备和材料名称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jc w:val="center"/>
        </w:trPr>
        <w:tc>
          <w:tcPr>
            <w:tcW w:w="813" w:type="pct"/>
            <w:vAlign w:val="center"/>
          </w:tcPr>
          <w:p>
            <w:pPr>
              <w:pStyle w:val="4"/>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1</w:t>
            </w:r>
          </w:p>
        </w:tc>
        <w:tc>
          <w:tcPr>
            <w:tcW w:w="4186" w:type="pct"/>
            <w:vAlign w:val="center"/>
          </w:tcPr>
          <w:p>
            <w:pPr>
              <w:pStyle w:val="4"/>
              <w:jc w:val="left"/>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自制特殊工具和工装，</w:t>
            </w:r>
            <w:r>
              <w:rPr>
                <w:rFonts w:ascii="Noto Sans Mono CJK JP Regular" w:hAnsi="Noto Sans Mono CJK JP Regular" w:eastAsia="华文细黑" w:cs="Noto Sans Mono CJK JP Regular"/>
                <w:kern w:val="0"/>
                <w:szCs w:val="21"/>
              </w:rPr>
              <w:t xml:space="preserve"> </w:t>
            </w:r>
            <w:r>
              <w:rPr>
                <w:rFonts w:hint="eastAsia" w:ascii="Noto Sans Mono CJK JP Regular" w:hAnsi="Noto Sans Mono CJK JP Regular" w:eastAsia="华文细黑" w:cs="Noto Sans Mono CJK JP Regular"/>
                <w:kern w:val="0"/>
                <w:szCs w:val="21"/>
              </w:rPr>
              <w:t>自带各模块所需的制作材料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3" w:hRule="atLeast"/>
          <w:jc w:val="center"/>
        </w:trPr>
        <w:tc>
          <w:tcPr>
            <w:tcW w:w="813" w:type="pct"/>
            <w:vAlign w:val="center"/>
          </w:tcPr>
          <w:p>
            <w:pPr>
              <w:pStyle w:val="4"/>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2</w:t>
            </w:r>
          </w:p>
        </w:tc>
        <w:tc>
          <w:tcPr>
            <w:tcW w:w="4186" w:type="pct"/>
            <w:vAlign w:val="center"/>
          </w:tcPr>
          <w:p>
            <w:pPr>
              <w:pStyle w:val="4"/>
              <w:jc w:val="left"/>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U 盘等存储设备、含存储介质的电子设备及拍照设备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3" w:hRule="atLeast"/>
          <w:jc w:val="center"/>
        </w:trPr>
        <w:tc>
          <w:tcPr>
            <w:tcW w:w="813" w:type="pct"/>
            <w:vAlign w:val="center"/>
          </w:tcPr>
          <w:p>
            <w:pPr>
              <w:pStyle w:val="4"/>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3</w:t>
            </w:r>
          </w:p>
        </w:tc>
        <w:tc>
          <w:tcPr>
            <w:tcW w:w="4186" w:type="pct"/>
            <w:vAlign w:val="center"/>
          </w:tcPr>
          <w:p>
            <w:pPr>
              <w:pStyle w:val="4"/>
              <w:jc w:val="left"/>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技术资料、笔记本及多余纸张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3" w:hRule="atLeast"/>
          <w:jc w:val="center"/>
        </w:trPr>
        <w:tc>
          <w:tcPr>
            <w:tcW w:w="813" w:type="pct"/>
            <w:vAlign w:val="center"/>
          </w:tcPr>
          <w:p>
            <w:pPr>
              <w:pStyle w:val="4"/>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4</w:t>
            </w:r>
          </w:p>
        </w:tc>
        <w:tc>
          <w:tcPr>
            <w:tcW w:w="4186" w:type="pct"/>
            <w:vAlign w:val="center"/>
          </w:tcPr>
          <w:p>
            <w:pPr>
              <w:pStyle w:val="4"/>
              <w:jc w:val="left"/>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危险化学品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3" w:hRule="atLeast"/>
          <w:jc w:val="center"/>
        </w:trPr>
        <w:tc>
          <w:tcPr>
            <w:tcW w:w="813" w:type="pct"/>
            <w:vAlign w:val="center"/>
          </w:tcPr>
          <w:p>
            <w:pPr>
              <w:pStyle w:val="4"/>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5</w:t>
            </w:r>
          </w:p>
        </w:tc>
        <w:tc>
          <w:tcPr>
            <w:tcW w:w="4186" w:type="pct"/>
            <w:vAlign w:val="center"/>
          </w:tcPr>
          <w:p>
            <w:pPr>
              <w:pStyle w:val="4"/>
              <w:jc w:val="left"/>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不允许携带图纸和其他手册资料</w:t>
            </w:r>
          </w:p>
        </w:tc>
      </w:tr>
    </w:tbl>
    <w:p>
      <w:pPr>
        <w:spacing w:before="156" w:beforeLines="50" w:after="156" w:afterLines="50" w:line="360" w:lineRule="auto"/>
        <w:ind w:firstLine="602" w:firstLineChars="200"/>
        <w:rPr>
          <w:rFonts w:ascii="黑体" w:hAnsi="黑体" w:eastAsia="黑体" w:cs="黑体"/>
          <w:b/>
          <w:bCs/>
          <w:sz w:val="30"/>
          <w:szCs w:val="30"/>
        </w:rPr>
      </w:pPr>
      <w:r>
        <w:rPr>
          <w:rFonts w:hint="eastAsia" w:ascii="黑体" w:hAnsi="黑体" w:eastAsia="黑体" w:cs="黑体"/>
          <w:b/>
          <w:bCs/>
          <w:sz w:val="30"/>
          <w:szCs w:val="30"/>
        </w:rPr>
        <w:t>九、开放赛场</w:t>
      </w:r>
    </w:p>
    <w:p>
      <w:pPr>
        <w:spacing w:line="360" w:lineRule="auto"/>
        <w:ind w:firstLine="480" w:firstLineChars="200"/>
        <w:rPr>
          <w:rFonts w:hint="eastAsia" w:ascii="Noto Sans Mono CJK JP Regular" w:hAnsi="Noto Sans Mono CJK JP Regular" w:eastAsia="华文细黑" w:cs="Noto Sans Mono CJK JP Regular"/>
          <w:kern w:val="0"/>
          <w:sz w:val="24"/>
          <w:szCs w:val="22"/>
          <w:lang w:val="zh-CN"/>
        </w:rPr>
      </w:pPr>
      <w:r>
        <w:rPr>
          <w:rFonts w:hint="eastAsia" w:ascii="Noto Sans Mono CJK JP Regular" w:hAnsi="Noto Sans Mono CJK JP Regular" w:eastAsia="华文细黑" w:cs="Noto Sans Mono CJK JP Regular"/>
          <w:kern w:val="0"/>
          <w:sz w:val="24"/>
          <w:szCs w:val="22"/>
          <w:lang w:val="zh-CN"/>
        </w:rPr>
        <w:t>（一）比赛承办方应在不影响选手比赛和裁判员工作的前提下提供开放式场地供参观者观摩。</w:t>
      </w:r>
    </w:p>
    <w:p>
      <w:pPr>
        <w:spacing w:line="360" w:lineRule="auto"/>
        <w:ind w:firstLine="480" w:firstLineChars="200"/>
        <w:rPr>
          <w:rFonts w:hint="eastAsia" w:ascii="Noto Sans Mono CJK JP Regular" w:hAnsi="Noto Sans Mono CJK JP Regular" w:eastAsia="华文细黑" w:cs="Noto Sans Mono CJK JP Regular"/>
          <w:kern w:val="0"/>
          <w:sz w:val="24"/>
          <w:szCs w:val="22"/>
          <w:lang w:val="zh-CN"/>
        </w:rPr>
      </w:pPr>
      <w:r>
        <w:rPr>
          <w:rFonts w:hint="eastAsia" w:ascii="Noto Sans Mono CJK JP Regular" w:hAnsi="Noto Sans Mono CJK JP Regular" w:eastAsia="华文细黑" w:cs="Noto Sans Mono CJK JP Regular"/>
          <w:kern w:val="0"/>
          <w:sz w:val="24"/>
          <w:szCs w:val="22"/>
          <w:lang w:val="zh-CN"/>
        </w:rPr>
        <w:t>（二）比赛承办方应积极做好竞赛的宣传工作。</w:t>
      </w:r>
    </w:p>
    <w:p>
      <w:pPr>
        <w:spacing w:line="360" w:lineRule="auto"/>
        <w:ind w:firstLine="480" w:firstLineChars="200"/>
        <w:rPr>
          <w:rFonts w:hint="eastAsia" w:ascii="Noto Sans Mono CJK JP Regular" w:hAnsi="Noto Sans Mono CJK JP Regular" w:eastAsia="华文细黑" w:cs="Noto Sans Mono CJK JP Regular"/>
          <w:kern w:val="0"/>
          <w:sz w:val="24"/>
          <w:szCs w:val="22"/>
          <w:lang w:val="zh-CN"/>
        </w:rPr>
      </w:pPr>
      <w:r>
        <w:rPr>
          <w:rFonts w:hint="eastAsia" w:ascii="Noto Sans Mono CJK JP Regular" w:hAnsi="Noto Sans Mono CJK JP Regular" w:eastAsia="华文细黑" w:cs="Noto Sans Mono CJK JP Regular"/>
          <w:kern w:val="0"/>
          <w:sz w:val="24"/>
          <w:szCs w:val="22"/>
          <w:lang w:val="zh-CN"/>
        </w:rPr>
        <w:t>（三）参观人员需经过登记审核，安检和检查携带的物品后，方可进入赛场。</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br w:type="page"/>
      </w:r>
    </w:p>
    <w:p>
      <w:pPr>
        <w:pStyle w:val="6"/>
        <w:spacing w:line="360" w:lineRule="auto"/>
        <w:ind w:left="0" w:right="0" w:rightChars="0"/>
        <w:rPr>
          <w:rFonts w:ascii="黑体" w:hAnsi="黑体" w:eastAsia="黑体" w:cs="黑体"/>
          <w:sz w:val="24"/>
          <w:szCs w:val="24"/>
        </w:rPr>
      </w:pPr>
      <w:r>
        <w:rPr>
          <w:rFonts w:hint="eastAsia" w:ascii="黑体" w:hAnsi="黑体" w:eastAsia="黑体" w:cs="黑体"/>
          <w:b/>
          <w:bCs/>
          <w:sz w:val="24"/>
          <w:szCs w:val="24"/>
        </w:rPr>
        <w:t xml:space="preserve">附件1：模块一  </w:t>
      </w:r>
      <w:r>
        <w:rPr>
          <w:rFonts w:hint="eastAsia" w:ascii="黑体" w:hAnsi="黑体" w:eastAsia="黑体" w:cs="黑体"/>
          <w:b/>
          <w:bCs/>
          <w:sz w:val="24"/>
          <w:szCs w:val="24"/>
          <w:lang w:val="zh-CN"/>
        </w:rPr>
        <w:t>数控机床电气智能化改造与维修</w:t>
      </w:r>
    </w:p>
    <w:p>
      <w:pPr>
        <w:spacing w:line="360" w:lineRule="auto"/>
        <w:jc w:val="center"/>
        <w:rPr>
          <w:rFonts w:ascii="黑体" w:hAnsi="黑体" w:eastAsia="黑体" w:cs="黑体"/>
          <w:b/>
          <w:bCs/>
          <w:sz w:val="24"/>
        </w:rPr>
      </w:pPr>
      <w:r>
        <w:rPr>
          <w:rFonts w:hint="eastAsia" w:ascii="黑体" w:hAnsi="黑体" w:eastAsia="黑体" w:cs="黑体"/>
          <w:b/>
          <w:bCs/>
          <w:sz w:val="24"/>
        </w:rPr>
        <w:t>YTCLT-1B型 数控机床电气装调与维修实训系统</w:t>
      </w:r>
    </w:p>
    <w:p>
      <w:pPr>
        <w:spacing w:line="360" w:lineRule="auto"/>
        <w:ind w:firstLine="480" w:firstLineChars="200"/>
        <w:rPr>
          <w:rFonts w:ascii="华文细黑" w:hAnsi="华文细黑" w:eastAsia="华文细黑" w:cs="华文细黑"/>
          <w:sz w:val="24"/>
        </w:rPr>
      </w:pPr>
      <w:r>
        <w:rPr>
          <w:rFonts w:hint="eastAsia" w:ascii="Noto Sans Mono CJK JP Regular" w:hAnsi="Noto Sans Mono CJK JP Regular" w:eastAsia="华文细黑" w:cs="Noto Sans Mono CJK JP Regular"/>
          <w:kern w:val="0"/>
          <w:sz w:val="24"/>
        </w:rPr>
        <w:t>1.</w:t>
      </w:r>
      <w:r>
        <w:rPr>
          <w:rFonts w:hint="eastAsia" w:ascii="华文细黑" w:hAnsi="华文细黑" w:eastAsia="华文细黑" w:cs="华文细黑"/>
          <w:sz w:val="24"/>
        </w:rPr>
        <w:t>技术性能</w:t>
      </w:r>
    </w:p>
    <w:p>
      <w:pPr>
        <w:spacing w:line="360" w:lineRule="auto"/>
        <w:ind w:firstLine="480" w:firstLineChars="200"/>
        <w:rPr>
          <w:rFonts w:ascii="华文细黑" w:hAnsi="华文细黑" w:eastAsia="华文细黑" w:cs="华文细黑"/>
          <w:sz w:val="24"/>
        </w:rPr>
      </w:pPr>
      <w:r>
        <w:rPr>
          <w:rFonts w:hint="eastAsia" w:ascii="Noto Sans Mono CJK JP Regular" w:hAnsi="Noto Sans Mono CJK JP Regular" w:eastAsia="华文细黑" w:cs="Noto Sans Mono CJK JP Regular"/>
          <w:kern w:val="0"/>
          <w:sz w:val="24"/>
        </w:rPr>
        <w:t>（1）</w:t>
      </w:r>
      <w:r>
        <w:rPr>
          <w:rFonts w:hint="eastAsia" w:ascii="华文细黑" w:hAnsi="华文细黑" w:eastAsia="华文细黑" w:cs="华文细黑"/>
          <w:spacing w:val="-2"/>
          <w:sz w:val="24"/>
        </w:rPr>
        <w:t>电源：</w:t>
      </w:r>
      <w:r>
        <w:rPr>
          <w:rFonts w:hint="eastAsia" w:ascii="华文细黑" w:hAnsi="华文细黑" w:eastAsia="华文细黑" w:cs="华文细黑"/>
          <w:sz w:val="24"/>
        </w:rPr>
        <w:t>三相五线 AC380V±10% 50Hz</w:t>
      </w:r>
    </w:p>
    <w:p>
      <w:pPr>
        <w:spacing w:line="360" w:lineRule="auto"/>
        <w:ind w:firstLine="480" w:firstLineChars="200"/>
        <w:rPr>
          <w:rFonts w:ascii="华文细黑" w:hAnsi="华文细黑" w:eastAsia="华文细黑" w:cs="华文细黑"/>
          <w:spacing w:val="-2"/>
          <w:sz w:val="24"/>
        </w:rPr>
      </w:pPr>
      <w:r>
        <w:rPr>
          <w:rFonts w:hint="eastAsia" w:ascii="Noto Sans Mono CJK JP Regular" w:hAnsi="Noto Sans Mono CJK JP Regular" w:eastAsia="华文细黑" w:cs="Noto Sans Mono CJK JP Regular"/>
          <w:kern w:val="0"/>
          <w:sz w:val="24"/>
        </w:rPr>
        <w:t>（2）</w:t>
      </w:r>
      <w:r>
        <w:rPr>
          <w:rFonts w:hint="eastAsia" w:ascii="华文细黑" w:hAnsi="华文细黑" w:eastAsia="华文细黑" w:cs="华文细黑"/>
          <w:spacing w:val="-2"/>
          <w:sz w:val="24"/>
        </w:rPr>
        <w:t>装置容量：</w:t>
      </w:r>
      <w:r>
        <w:rPr>
          <w:rFonts w:hint="eastAsia" w:ascii="华文细黑" w:hAnsi="华文细黑" w:eastAsia="华文细黑" w:cs="华文细黑"/>
          <w:sz w:val="24"/>
        </w:rPr>
        <w:t>＜1kVA</w:t>
      </w:r>
    </w:p>
    <w:p>
      <w:pPr>
        <w:spacing w:line="360" w:lineRule="auto"/>
        <w:ind w:firstLine="480" w:firstLineChars="200"/>
        <w:rPr>
          <w:rFonts w:ascii="华文细黑" w:hAnsi="华文细黑" w:eastAsia="华文细黑" w:cs="华文细黑"/>
          <w:spacing w:val="-2"/>
          <w:sz w:val="24"/>
        </w:rPr>
      </w:pPr>
      <w:r>
        <w:rPr>
          <w:rFonts w:hint="eastAsia" w:ascii="Noto Sans Mono CJK JP Regular" w:hAnsi="Noto Sans Mono CJK JP Regular" w:eastAsia="华文细黑" w:cs="Noto Sans Mono CJK JP Regular"/>
          <w:kern w:val="0"/>
          <w:sz w:val="24"/>
        </w:rPr>
        <w:t>（3）</w:t>
      </w:r>
      <w:r>
        <w:rPr>
          <w:rFonts w:hint="eastAsia" w:ascii="华文细黑" w:hAnsi="华文细黑" w:eastAsia="华文细黑" w:cs="华文细黑"/>
          <w:spacing w:val="-2"/>
          <w:sz w:val="24"/>
        </w:rPr>
        <w:t>外形尺寸：电气控制平台：</w:t>
      </w:r>
      <w:r>
        <w:rPr>
          <w:rFonts w:hint="eastAsia" w:ascii="华文细黑" w:hAnsi="华文细黑" w:eastAsia="华文细黑" w:cs="华文细黑"/>
          <w:sz w:val="24"/>
        </w:rPr>
        <w:t>1200mm×800mm×1700mm</w:t>
      </w:r>
    </w:p>
    <w:p>
      <w:pPr>
        <w:spacing w:line="360" w:lineRule="auto"/>
        <w:ind w:firstLine="480" w:firstLineChars="200"/>
        <w:rPr>
          <w:rFonts w:ascii="华文细黑" w:hAnsi="华文细黑" w:eastAsia="华文细黑" w:cs="华文细黑"/>
          <w:spacing w:val="-2"/>
          <w:sz w:val="24"/>
        </w:rPr>
      </w:pPr>
      <w:r>
        <w:rPr>
          <w:rFonts w:hint="eastAsia" w:ascii="Noto Sans Mono CJK JP Regular" w:hAnsi="Noto Sans Mono CJK JP Regular" w:eastAsia="华文细黑" w:cs="Noto Sans Mono CJK JP Regular"/>
          <w:kern w:val="0"/>
          <w:sz w:val="24"/>
        </w:rPr>
        <w:t>（4）</w:t>
      </w:r>
      <w:r>
        <w:rPr>
          <w:rFonts w:hint="eastAsia" w:ascii="华文细黑" w:hAnsi="华文细黑" w:eastAsia="华文细黑" w:cs="华文细黑"/>
          <w:spacing w:val="-2"/>
          <w:sz w:val="24"/>
        </w:rPr>
        <w:t>漏电保护：漏电动作电流</w:t>
      </w:r>
      <w:r>
        <w:rPr>
          <w:rFonts w:hint="eastAsia" w:ascii="华文细黑" w:hAnsi="华文细黑" w:eastAsia="华文细黑" w:cs="华文细黑"/>
          <w:sz w:val="24"/>
        </w:rPr>
        <w:t>≤30mA</w:t>
      </w:r>
    </w:p>
    <w:p>
      <w:pPr>
        <w:spacing w:line="360" w:lineRule="auto"/>
        <w:ind w:firstLine="480" w:firstLineChars="200"/>
        <w:rPr>
          <w:rFonts w:ascii="华文细黑" w:hAnsi="华文细黑" w:eastAsia="华文细黑" w:cs="华文细黑"/>
          <w:spacing w:val="-2"/>
          <w:sz w:val="24"/>
          <w:lang w:val="zh-CN"/>
        </w:rPr>
      </w:pPr>
      <w:r>
        <w:rPr>
          <w:rFonts w:hint="eastAsia" w:ascii="Noto Sans Mono CJK JP Regular" w:hAnsi="Noto Sans Mono CJK JP Regular" w:eastAsia="华文细黑" w:cs="Noto Sans Mono CJK JP Regular"/>
          <w:kern w:val="0"/>
          <w:sz w:val="24"/>
        </w:rPr>
        <w:t>（5）</w:t>
      </w:r>
      <w:r>
        <w:rPr>
          <w:rFonts w:hint="eastAsia" w:ascii="华文细黑" w:hAnsi="华文细黑" w:eastAsia="华文细黑" w:cs="华文细黑"/>
          <w:spacing w:val="-2"/>
          <w:sz w:val="24"/>
        </w:rPr>
        <w:t>安全保护措施：具有漏电、过流、接地等安全保护功能，安全符合国家相关标准。</w:t>
      </w:r>
      <w:r>
        <w:rPr>
          <w:rFonts w:hint="eastAsia" w:ascii="华文细黑" w:hAnsi="华文细黑" w:eastAsia="华文细黑" w:cs="华文细黑"/>
          <w:spacing w:val="-2"/>
          <w:sz w:val="24"/>
          <w:lang w:val="zh-CN"/>
        </w:rPr>
        <w:t xml:space="preserve"> </w:t>
      </w:r>
    </w:p>
    <w:p>
      <w:pPr>
        <w:spacing w:line="360" w:lineRule="auto"/>
        <w:ind w:firstLine="480" w:firstLineChars="200"/>
        <w:rPr>
          <w:rFonts w:hint="eastAsia" w:ascii="Noto Sans Mono CJK JP Regular" w:hAnsi="Noto Sans Mono CJK JP Regular" w:eastAsia="华文细黑" w:cs="Noto Sans Mono CJK JP Regular"/>
          <w:kern w:val="0"/>
          <w:sz w:val="24"/>
        </w:rPr>
      </w:pPr>
      <w:r>
        <w:rPr>
          <w:rFonts w:hint="eastAsia" w:ascii="Noto Sans Mono CJK JP Regular" w:hAnsi="Noto Sans Mono CJK JP Regular" w:eastAsia="华文细黑" w:cs="Noto Sans Mono CJK JP Regular"/>
          <w:kern w:val="0"/>
          <w:sz w:val="24"/>
        </w:rPr>
        <w:t>2.产品结构和组成</w:t>
      </w:r>
    </w:p>
    <w:p>
      <w:pPr>
        <w:spacing w:line="360" w:lineRule="auto"/>
        <w:ind w:firstLine="480" w:firstLineChars="200"/>
        <w:rPr>
          <w:rFonts w:ascii="华文细黑" w:hAnsi="华文细黑" w:eastAsia="华文细黑" w:cs="华文细黑"/>
          <w:spacing w:val="-2"/>
          <w:sz w:val="24"/>
        </w:rPr>
      </w:pPr>
      <w:r>
        <w:rPr>
          <w:rFonts w:hint="eastAsia" w:ascii="Noto Sans Mono CJK JP Regular" w:hAnsi="Noto Sans Mono CJK JP Regular" w:eastAsia="华文细黑" w:cs="Noto Sans Mono CJK JP Regular"/>
          <w:kern w:val="0"/>
          <w:sz w:val="24"/>
        </w:rPr>
        <w:t>（1）</w:t>
      </w:r>
      <w:r>
        <w:rPr>
          <w:rFonts w:hint="eastAsia" w:ascii="华文细黑" w:hAnsi="华文细黑" w:eastAsia="华文细黑" w:cs="华文细黑"/>
          <w:spacing w:val="-2"/>
          <w:sz w:val="24"/>
        </w:rPr>
        <w:t>电气控制平台</w:t>
      </w:r>
    </w:p>
    <w:p>
      <w:pPr>
        <w:spacing w:line="360" w:lineRule="auto"/>
        <w:ind w:firstLine="480" w:firstLineChars="200"/>
        <w:rPr>
          <w:rFonts w:ascii="华文细黑" w:hAnsi="华文细黑" w:eastAsia="华文细黑" w:cs="华文细黑"/>
          <w:spacing w:val="-2"/>
          <w:sz w:val="24"/>
        </w:rPr>
      </w:pPr>
      <w:r>
        <w:rPr>
          <w:rFonts w:hint="eastAsia" w:ascii="Noto Sans Mono CJK JP Regular" w:hAnsi="Noto Sans Mono CJK JP Regular" w:eastAsia="华文细黑" w:cs="Noto Sans Mono CJK JP Regular"/>
          <w:kern w:val="0"/>
          <w:sz w:val="24"/>
        </w:rPr>
        <w:t>1）</w:t>
      </w:r>
      <w:r>
        <w:rPr>
          <w:rFonts w:hint="eastAsia" w:ascii="华文细黑" w:hAnsi="华文细黑" w:eastAsia="华文细黑" w:cs="华文细黑"/>
          <w:spacing w:val="-2"/>
          <w:sz w:val="24"/>
        </w:rPr>
        <w:t>电气控制平台采用铝合金型材、网孔板开放式设计，立式结构，符合真实的数控电气安装环境，主要由数控系统、进给驱动、主轴单元、PMC单元、刀架控制电路、冷却控制电路、接口单元、保护电路、电源电路等组成。该单元包含完整的数控车床电气控制部分，以及接口转换单元。</w:t>
      </w:r>
    </w:p>
    <w:p>
      <w:pPr>
        <w:spacing w:line="360" w:lineRule="auto"/>
        <w:ind w:firstLine="480" w:firstLineChars="200"/>
        <w:rPr>
          <w:rFonts w:ascii="华文细黑" w:hAnsi="华文细黑" w:eastAsia="华文细黑" w:cs="华文细黑"/>
          <w:spacing w:val="-2"/>
          <w:sz w:val="24"/>
        </w:rPr>
      </w:pPr>
      <w:r>
        <w:rPr>
          <w:rFonts w:hint="eastAsia" w:ascii="Noto Sans Mono CJK JP Regular" w:hAnsi="Noto Sans Mono CJK JP Regular" w:eastAsia="华文细黑" w:cs="Noto Sans Mono CJK JP Regular"/>
          <w:kern w:val="0"/>
          <w:sz w:val="24"/>
        </w:rPr>
        <w:t>2）</w:t>
      </w:r>
      <w:r>
        <w:rPr>
          <w:rFonts w:hint="eastAsia" w:ascii="华文细黑" w:hAnsi="华文细黑" w:eastAsia="华文细黑" w:cs="华文细黑"/>
          <w:spacing w:val="-2"/>
          <w:sz w:val="24"/>
        </w:rPr>
        <w:t>数控系统采用西门子公司的“SINUMERIK 808D”系统，集成S7-200PLC，带7.5″彩色LCD液晶屏和前置USB接口，配置机械式按键的机床控制面板。可进行数控系统的安装、连接、参数设置与功能调试等实训。</w:t>
      </w:r>
    </w:p>
    <w:p>
      <w:pPr>
        <w:spacing w:line="360" w:lineRule="auto"/>
        <w:ind w:firstLine="480" w:firstLineChars="200"/>
        <w:rPr>
          <w:rFonts w:ascii="华文细黑" w:hAnsi="华文细黑" w:eastAsia="华文细黑" w:cs="华文细黑"/>
          <w:spacing w:val="-2"/>
          <w:sz w:val="24"/>
        </w:rPr>
      </w:pPr>
      <w:r>
        <w:rPr>
          <w:rFonts w:hint="eastAsia" w:ascii="Noto Sans Mono CJK JP Regular" w:hAnsi="Noto Sans Mono CJK JP Regular" w:eastAsia="华文细黑" w:cs="Noto Sans Mono CJK JP Regular"/>
          <w:kern w:val="0"/>
          <w:sz w:val="24"/>
        </w:rPr>
        <w:t>3）</w:t>
      </w:r>
      <w:r>
        <w:rPr>
          <w:rFonts w:hint="eastAsia" w:ascii="华文细黑" w:hAnsi="华文细黑" w:eastAsia="华文细黑" w:cs="华文细黑"/>
          <w:spacing w:val="-2"/>
          <w:sz w:val="24"/>
        </w:rPr>
        <w:t>X、Z轴采用西门子交流伺服驱动器和电机，运动方向上设有正负限位、参考点等开关；主轴由三相异步电机驱动，变频调速控制。</w:t>
      </w:r>
    </w:p>
    <w:p>
      <w:pPr>
        <w:spacing w:line="360" w:lineRule="auto"/>
        <w:ind w:firstLine="480" w:firstLineChars="200"/>
        <w:rPr>
          <w:rFonts w:ascii="华文细黑" w:hAnsi="华文细黑" w:eastAsia="华文细黑" w:cs="华文细黑"/>
          <w:spacing w:val="-2"/>
          <w:sz w:val="24"/>
        </w:rPr>
      </w:pPr>
      <w:r>
        <w:rPr>
          <w:rFonts w:hint="eastAsia" w:ascii="Noto Sans Mono CJK JP Regular" w:hAnsi="Noto Sans Mono CJK JP Regular" w:eastAsia="华文细黑" w:cs="Noto Sans Mono CJK JP Regular"/>
          <w:kern w:val="0"/>
          <w:sz w:val="24"/>
        </w:rPr>
        <w:t>4）</w:t>
      </w:r>
      <w:r>
        <w:rPr>
          <w:rFonts w:hint="eastAsia" w:ascii="华文细黑" w:hAnsi="华文细黑" w:eastAsia="华文细黑" w:cs="华文细黑"/>
          <w:spacing w:val="-2"/>
          <w:sz w:val="24"/>
        </w:rPr>
        <w:t>网孔板上装有变频器、伺服驱动器、交流接触器、继电器、保险丝座、断路器、开关电源、接线端子排和走线槽等；底部还设有变压器和接地端子等。</w:t>
      </w:r>
    </w:p>
    <w:p>
      <w:pPr>
        <w:spacing w:line="360" w:lineRule="auto"/>
        <w:ind w:firstLine="480" w:firstLineChars="200"/>
        <w:rPr>
          <w:rFonts w:hint="eastAsia" w:ascii="Noto Sans Mono CJK JP Regular" w:hAnsi="Noto Sans Mono CJK JP Regular" w:eastAsia="华文细黑" w:cs="Noto Sans Mono CJK JP Regular"/>
          <w:kern w:val="0"/>
          <w:sz w:val="24"/>
        </w:rPr>
      </w:pPr>
      <w:r>
        <w:rPr>
          <w:rFonts w:hint="eastAsia" w:ascii="Noto Sans Mono CJK JP Regular" w:hAnsi="Noto Sans Mono CJK JP Regular" w:eastAsia="华文细黑" w:cs="Noto Sans Mono CJK JP Regular"/>
          <w:kern w:val="0"/>
          <w:sz w:val="24"/>
        </w:rPr>
        <w:t>（2）数控</w:t>
      </w:r>
      <w:bookmarkStart w:id="0" w:name="_Hlk143714524"/>
      <w:r>
        <w:rPr>
          <w:rFonts w:hint="eastAsia" w:ascii="Noto Sans Mono CJK JP Regular" w:hAnsi="Noto Sans Mono CJK JP Regular" w:eastAsia="华文细黑" w:cs="Noto Sans Mono CJK JP Regular"/>
          <w:kern w:val="0"/>
          <w:sz w:val="24"/>
        </w:rPr>
        <w:t>升级改造模块</w:t>
      </w:r>
      <w:bookmarkEnd w:id="0"/>
    </w:p>
    <w:p>
      <w:pPr>
        <w:spacing w:line="360" w:lineRule="auto"/>
        <w:ind w:firstLine="472" w:firstLineChars="200"/>
        <w:rPr>
          <w:rFonts w:ascii="华文细黑" w:hAnsi="华文细黑" w:eastAsia="华文细黑" w:cs="华文细黑"/>
          <w:spacing w:val="-2"/>
          <w:sz w:val="24"/>
        </w:rPr>
      </w:pPr>
      <w:r>
        <w:rPr>
          <w:rFonts w:hint="eastAsia" w:ascii="华文细黑" w:hAnsi="华文细黑" w:eastAsia="华文细黑" w:cs="华文细黑"/>
          <w:spacing w:val="-2"/>
          <w:sz w:val="24"/>
        </w:rPr>
        <w:t>配套相应的元件进行安装及接线，通过计算机对数控系统控制程序的编程与设计完成数控系统的升级改造，可以实现数控系统自动开关门、电动尾座、灯光照明等功能。配置交流减速电机</w:t>
      </w:r>
      <w:r>
        <w:rPr>
          <w:rFonts w:hint="eastAsia" w:ascii="华文细黑" w:hAnsi="华文细黑" w:eastAsia="华文细黑" w:cs="华文细黑"/>
          <w:sz w:val="24"/>
        </w:rPr>
        <w:t>1</w:t>
      </w:r>
      <w:r>
        <w:rPr>
          <w:rFonts w:hint="eastAsia" w:ascii="华文细黑" w:hAnsi="华文细黑" w:eastAsia="华文细黑" w:cs="华文细黑"/>
          <w:spacing w:val="-2"/>
          <w:sz w:val="24"/>
        </w:rPr>
        <w:t>台，导轨滑块</w:t>
      </w:r>
      <w:r>
        <w:rPr>
          <w:rFonts w:hint="eastAsia" w:ascii="华文细黑" w:hAnsi="华文细黑" w:eastAsia="华文细黑" w:cs="华文细黑"/>
          <w:sz w:val="24"/>
        </w:rPr>
        <w:t>1</w:t>
      </w:r>
      <w:r>
        <w:rPr>
          <w:rFonts w:hint="eastAsia" w:ascii="华文细黑" w:hAnsi="华文细黑" w:eastAsia="华文细黑" w:cs="华文细黑"/>
          <w:spacing w:val="-2"/>
          <w:sz w:val="24"/>
        </w:rPr>
        <w:t>个，到位传感器</w:t>
      </w:r>
      <w:r>
        <w:rPr>
          <w:rFonts w:hint="eastAsia" w:ascii="华文细黑" w:hAnsi="华文细黑" w:eastAsia="华文细黑" w:cs="华文细黑"/>
          <w:sz w:val="24"/>
        </w:rPr>
        <w:t>2</w:t>
      </w:r>
      <w:r>
        <w:rPr>
          <w:rFonts w:hint="eastAsia" w:ascii="华文细黑" w:hAnsi="华文细黑" w:eastAsia="华文细黑" w:cs="华文细黑"/>
          <w:spacing w:val="-2"/>
          <w:sz w:val="24"/>
        </w:rPr>
        <w:t>个，低压电器元件若干。</w:t>
      </w:r>
    </w:p>
    <w:p>
      <w:pPr>
        <w:spacing w:line="360" w:lineRule="auto"/>
        <w:ind w:firstLine="480" w:firstLineChars="200"/>
        <w:rPr>
          <w:rFonts w:hint="eastAsia" w:ascii="Noto Sans Mono CJK JP Regular" w:hAnsi="Noto Sans Mono CJK JP Regular" w:eastAsia="华文细黑" w:cs="Noto Sans Mono CJK JP Regular"/>
          <w:kern w:val="0"/>
          <w:sz w:val="24"/>
        </w:rPr>
      </w:pPr>
      <w:r>
        <w:rPr>
          <w:rFonts w:hint="eastAsia" w:ascii="Noto Sans Mono CJK JP Regular" w:hAnsi="Noto Sans Mono CJK JP Regular" w:eastAsia="华文细黑" w:cs="Noto Sans Mono CJK JP Regular"/>
          <w:kern w:val="0"/>
          <w:sz w:val="24"/>
        </w:rPr>
        <w:t>（3）设备配置</w:t>
      </w:r>
    </w:p>
    <w:tbl>
      <w:tblPr>
        <w:tblStyle w:val="13"/>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3"/>
        <w:gridCol w:w="1832"/>
        <w:gridCol w:w="5006"/>
        <w:gridCol w:w="9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59" w:type="pct"/>
            <w:vAlign w:val="center"/>
          </w:tcPr>
          <w:p>
            <w:pPr>
              <w:spacing w:line="360" w:lineRule="auto"/>
              <w:jc w:val="center"/>
              <w:rPr>
                <w:rFonts w:ascii="华文细黑" w:hAnsi="华文细黑" w:eastAsia="华文细黑" w:cs="华文细黑"/>
                <w:b/>
                <w:bCs/>
                <w:szCs w:val="21"/>
                <w:lang w:val="zh-CN"/>
              </w:rPr>
            </w:pPr>
            <w:r>
              <w:rPr>
                <w:rFonts w:hint="eastAsia" w:ascii="华文细黑" w:hAnsi="华文细黑" w:eastAsia="华文细黑" w:cs="华文细黑"/>
                <w:b/>
                <w:bCs/>
                <w:szCs w:val="21"/>
                <w:lang w:val="zh-CN"/>
              </w:rPr>
              <w:t>序号</w:t>
            </w:r>
          </w:p>
        </w:tc>
        <w:tc>
          <w:tcPr>
            <w:tcW w:w="1074" w:type="pct"/>
            <w:vAlign w:val="center"/>
          </w:tcPr>
          <w:p>
            <w:pPr>
              <w:spacing w:line="360" w:lineRule="auto"/>
              <w:jc w:val="center"/>
              <w:rPr>
                <w:rFonts w:ascii="华文细黑" w:hAnsi="华文细黑" w:eastAsia="华文细黑" w:cs="华文细黑"/>
                <w:b/>
                <w:bCs/>
                <w:szCs w:val="21"/>
                <w:lang w:val="zh-CN"/>
              </w:rPr>
            </w:pPr>
            <w:r>
              <w:rPr>
                <w:rFonts w:hint="eastAsia" w:ascii="华文细黑" w:hAnsi="华文细黑" w:eastAsia="华文细黑" w:cs="华文细黑"/>
                <w:b/>
                <w:bCs/>
                <w:szCs w:val="21"/>
                <w:lang w:val="zh-CN"/>
              </w:rPr>
              <w:t>名称</w:t>
            </w:r>
          </w:p>
        </w:tc>
        <w:tc>
          <w:tcPr>
            <w:tcW w:w="2935" w:type="pct"/>
            <w:vAlign w:val="center"/>
          </w:tcPr>
          <w:p>
            <w:pPr>
              <w:spacing w:line="360" w:lineRule="auto"/>
              <w:jc w:val="center"/>
              <w:rPr>
                <w:rFonts w:ascii="华文细黑" w:hAnsi="华文细黑" w:eastAsia="华文细黑" w:cs="华文细黑"/>
                <w:b/>
                <w:bCs/>
                <w:szCs w:val="21"/>
                <w:lang w:val="zh-CN"/>
              </w:rPr>
            </w:pPr>
            <w:r>
              <w:rPr>
                <w:rFonts w:hint="eastAsia" w:ascii="华文细黑" w:hAnsi="华文细黑" w:eastAsia="华文细黑" w:cs="华文细黑"/>
                <w:b/>
                <w:bCs/>
                <w:szCs w:val="21"/>
                <w:lang w:val="zh-CN"/>
              </w:rPr>
              <w:t>功能及规格</w:t>
            </w:r>
          </w:p>
        </w:tc>
        <w:tc>
          <w:tcPr>
            <w:tcW w:w="530" w:type="pct"/>
            <w:vAlign w:val="center"/>
          </w:tcPr>
          <w:p>
            <w:pPr>
              <w:spacing w:line="360" w:lineRule="auto"/>
              <w:jc w:val="center"/>
              <w:rPr>
                <w:rFonts w:ascii="华文细黑" w:hAnsi="华文细黑" w:eastAsia="华文细黑" w:cs="华文细黑"/>
                <w:b/>
                <w:bCs/>
                <w:szCs w:val="21"/>
                <w:lang w:val="zh-CN"/>
              </w:rPr>
            </w:pPr>
            <w:r>
              <w:rPr>
                <w:rFonts w:hint="eastAsia" w:ascii="华文细黑" w:hAnsi="华文细黑" w:eastAsia="华文细黑" w:cs="华文细黑"/>
                <w:b/>
                <w:bCs/>
                <w:szCs w:val="21"/>
                <w:lang w:val="zh-CN"/>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459" w:type="pct"/>
            <w:vAlign w:val="center"/>
          </w:tcPr>
          <w:p>
            <w:pPr>
              <w:pStyle w:val="4"/>
              <w:spacing w:line="360" w:lineRule="auto"/>
              <w:rPr>
                <w:rFonts w:ascii="华文细黑" w:hAnsi="华文细黑" w:eastAsia="华文细黑" w:cs="华文细黑"/>
                <w:szCs w:val="21"/>
              </w:rPr>
            </w:pPr>
            <w:r>
              <w:rPr>
                <w:rFonts w:hint="eastAsia" w:ascii="华文细黑" w:hAnsi="华文细黑" w:eastAsia="华文细黑" w:cs="华文细黑"/>
                <w:szCs w:val="21"/>
              </w:rPr>
              <w:t>1</w:t>
            </w:r>
          </w:p>
        </w:tc>
        <w:tc>
          <w:tcPr>
            <w:tcW w:w="1074"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电气控制平台</w:t>
            </w:r>
          </w:p>
        </w:tc>
        <w:tc>
          <w:tcPr>
            <w:tcW w:w="2935"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1200mm×7</w:t>
            </w:r>
            <w:r>
              <w:rPr>
                <w:rFonts w:hint="eastAsia" w:ascii="华文细黑" w:hAnsi="华文细黑" w:eastAsia="华文细黑" w:cs="华文细黑"/>
                <w:szCs w:val="21"/>
              </w:rPr>
              <w:t>3</w:t>
            </w:r>
            <w:r>
              <w:rPr>
                <w:rFonts w:hint="eastAsia" w:ascii="华文细黑" w:hAnsi="华文细黑" w:eastAsia="华文细黑" w:cs="华文细黑"/>
                <w:szCs w:val="21"/>
                <w:lang w:val="zh-CN"/>
              </w:rPr>
              <w:t>0mm×1700mm</w:t>
            </w:r>
          </w:p>
        </w:tc>
        <w:tc>
          <w:tcPr>
            <w:tcW w:w="530"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1台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459" w:type="pct"/>
            <w:vAlign w:val="center"/>
          </w:tcPr>
          <w:p>
            <w:pPr>
              <w:pStyle w:val="4"/>
              <w:spacing w:line="360" w:lineRule="auto"/>
              <w:rPr>
                <w:rFonts w:ascii="华文细黑" w:hAnsi="华文细黑" w:eastAsia="华文细黑" w:cs="华文细黑"/>
                <w:szCs w:val="21"/>
              </w:rPr>
            </w:pPr>
            <w:r>
              <w:rPr>
                <w:rFonts w:hint="eastAsia" w:ascii="华文细黑" w:hAnsi="华文细黑" w:eastAsia="华文细黑" w:cs="华文细黑"/>
                <w:szCs w:val="21"/>
              </w:rPr>
              <w:t>2</w:t>
            </w:r>
          </w:p>
        </w:tc>
        <w:tc>
          <w:tcPr>
            <w:tcW w:w="1074"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数控系统</w:t>
            </w:r>
          </w:p>
        </w:tc>
        <w:tc>
          <w:tcPr>
            <w:tcW w:w="2935"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西门子SINUMERIK 808D车削版</w:t>
            </w:r>
          </w:p>
        </w:tc>
        <w:tc>
          <w:tcPr>
            <w:tcW w:w="530"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1套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jc w:val="center"/>
        </w:trPr>
        <w:tc>
          <w:tcPr>
            <w:tcW w:w="459" w:type="pct"/>
            <w:vAlign w:val="center"/>
          </w:tcPr>
          <w:p>
            <w:pPr>
              <w:pStyle w:val="4"/>
              <w:spacing w:line="360" w:lineRule="auto"/>
              <w:rPr>
                <w:rFonts w:ascii="华文细黑" w:hAnsi="华文细黑" w:eastAsia="华文细黑" w:cs="华文细黑"/>
                <w:szCs w:val="21"/>
              </w:rPr>
            </w:pPr>
            <w:r>
              <w:rPr>
                <w:rFonts w:hint="eastAsia" w:ascii="华文细黑" w:hAnsi="华文细黑" w:eastAsia="华文细黑" w:cs="华文细黑"/>
                <w:szCs w:val="21"/>
              </w:rPr>
              <w:t>3</w:t>
            </w:r>
          </w:p>
        </w:tc>
        <w:tc>
          <w:tcPr>
            <w:tcW w:w="1074"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伺服驱动</w:t>
            </w:r>
          </w:p>
        </w:tc>
        <w:tc>
          <w:tcPr>
            <w:tcW w:w="2935"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西门子 SINAMICS V70</w:t>
            </w:r>
          </w:p>
        </w:tc>
        <w:tc>
          <w:tcPr>
            <w:tcW w:w="530"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2套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jc w:val="center"/>
        </w:trPr>
        <w:tc>
          <w:tcPr>
            <w:tcW w:w="459" w:type="pct"/>
            <w:vAlign w:val="center"/>
          </w:tcPr>
          <w:p>
            <w:pPr>
              <w:pStyle w:val="4"/>
              <w:spacing w:line="360" w:lineRule="auto"/>
              <w:rPr>
                <w:rFonts w:ascii="华文细黑" w:hAnsi="华文细黑" w:eastAsia="华文细黑" w:cs="华文细黑"/>
                <w:szCs w:val="21"/>
              </w:rPr>
            </w:pPr>
            <w:r>
              <w:rPr>
                <w:rFonts w:hint="eastAsia" w:ascii="华文细黑" w:hAnsi="华文细黑" w:eastAsia="华文细黑" w:cs="华文细黑"/>
                <w:szCs w:val="21"/>
              </w:rPr>
              <w:t>4</w:t>
            </w:r>
          </w:p>
        </w:tc>
        <w:tc>
          <w:tcPr>
            <w:tcW w:w="1074"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伺服电机</w:t>
            </w:r>
          </w:p>
        </w:tc>
        <w:tc>
          <w:tcPr>
            <w:tcW w:w="2935"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西门子 SIMOTICS S-1FL6</w:t>
            </w:r>
          </w:p>
        </w:tc>
        <w:tc>
          <w:tcPr>
            <w:tcW w:w="530"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2台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459" w:type="pct"/>
            <w:vAlign w:val="center"/>
          </w:tcPr>
          <w:p>
            <w:pPr>
              <w:pStyle w:val="4"/>
              <w:spacing w:line="360" w:lineRule="auto"/>
              <w:rPr>
                <w:rFonts w:ascii="华文细黑" w:hAnsi="华文细黑" w:eastAsia="华文细黑" w:cs="华文细黑"/>
                <w:szCs w:val="21"/>
              </w:rPr>
            </w:pPr>
            <w:r>
              <w:rPr>
                <w:rFonts w:hint="eastAsia" w:ascii="华文细黑" w:hAnsi="华文细黑" w:eastAsia="华文细黑" w:cs="华文细黑"/>
                <w:szCs w:val="21"/>
              </w:rPr>
              <w:t>5</w:t>
            </w:r>
          </w:p>
        </w:tc>
        <w:tc>
          <w:tcPr>
            <w:tcW w:w="1074"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变频器</w:t>
            </w:r>
          </w:p>
        </w:tc>
        <w:tc>
          <w:tcPr>
            <w:tcW w:w="2935"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西门子V20变频器，三相380V交流供电</w:t>
            </w:r>
          </w:p>
        </w:tc>
        <w:tc>
          <w:tcPr>
            <w:tcW w:w="530"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1台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459" w:type="pct"/>
            <w:vAlign w:val="center"/>
          </w:tcPr>
          <w:p>
            <w:pPr>
              <w:pStyle w:val="4"/>
              <w:spacing w:line="360" w:lineRule="auto"/>
              <w:rPr>
                <w:rFonts w:ascii="华文细黑" w:hAnsi="华文细黑" w:eastAsia="华文细黑" w:cs="华文细黑"/>
                <w:szCs w:val="21"/>
              </w:rPr>
            </w:pPr>
            <w:r>
              <w:rPr>
                <w:rFonts w:hint="eastAsia" w:ascii="华文细黑" w:hAnsi="华文细黑" w:eastAsia="华文细黑" w:cs="华文细黑"/>
                <w:szCs w:val="21"/>
              </w:rPr>
              <w:t>6</w:t>
            </w:r>
          </w:p>
        </w:tc>
        <w:tc>
          <w:tcPr>
            <w:tcW w:w="1074"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主轴电机</w:t>
            </w:r>
          </w:p>
        </w:tc>
        <w:tc>
          <w:tcPr>
            <w:tcW w:w="2935"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额定功率：60W，额定电压：380V，额定转速：1400rpm</w:t>
            </w:r>
          </w:p>
        </w:tc>
        <w:tc>
          <w:tcPr>
            <w:tcW w:w="530"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1只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459" w:type="pct"/>
            <w:vAlign w:val="center"/>
          </w:tcPr>
          <w:p>
            <w:pPr>
              <w:pStyle w:val="4"/>
              <w:spacing w:line="360" w:lineRule="auto"/>
              <w:rPr>
                <w:rFonts w:ascii="华文细黑" w:hAnsi="华文细黑" w:eastAsia="华文细黑" w:cs="华文细黑"/>
                <w:szCs w:val="21"/>
              </w:rPr>
            </w:pPr>
            <w:r>
              <w:rPr>
                <w:rFonts w:hint="eastAsia" w:ascii="华文细黑" w:hAnsi="华文细黑" w:eastAsia="华文细黑" w:cs="华文细黑"/>
                <w:szCs w:val="21"/>
              </w:rPr>
              <w:t>7</w:t>
            </w:r>
          </w:p>
        </w:tc>
        <w:tc>
          <w:tcPr>
            <w:tcW w:w="1074"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冷却电机</w:t>
            </w:r>
          </w:p>
        </w:tc>
        <w:tc>
          <w:tcPr>
            <w:tcW w:w="2935"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额定功率：60W，额定电压：380V，额定转速：1400rpm</w:t>
            </w:r>
          </w:p>
        </w:tc>
        <w:tc>
          <w:tcPr>
            <w:tcW w:w="530"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1台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jc w:val="center"/>
        </w:trPr>
        <w:tc>
          <w:tcPr>
            <w:tcW w:w="459" w:type="pct"/>
            <w:vAlign w:val="center"/>
          </w:tcPr>
          <w:p>
            <w:pPr>
              <w:pStyle w:val="4"/>
              <w:spacing w:line="360" w:lineRule="auto"/>
              <w:rPr>
                <w:rFonts w:ascii="华文细黑" w:hAnsi="华文细黑" w:eastAsia="华文细黑" w:cs="华文细黑"/>
                <w:szCs w:val="21"/>
              </w:rPr>
            </w:pPr>
            <w:r>
              <w:rPr>
                <w:rFonts w:hint="eastAsia" w:ascii="华文细黑" w:hAnsi="华文细黑" w:eastAsia="华文细黑" w:cs="华文细黑"/>
                <w:szCs w:val="21"/>
              </w:rPr>
              <w:t>8</w:t>
            </w:r>
          </w:p>
        </w:tc>
        <w:tc>
          <w:tcPr>
            <w:tcW w:w="1074"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电动刀架</w:t>
            </w:r>
          </w:p>
        </w:tc>
        <w:tc>
          <w:tcPr>
            <w:tcW w:w="2935"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LD4四工位电动刀架</w:t>
            </w:r>
          </w:p>
        </w:tc>
        <w:tc>
          <w:tcPr>
            <w:tcW w:w="530"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1台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459" w:type="pct"/>
            <w:vAlign w:val="center"/>
          </w:tcPr>
          <w:p>
            <w:pPr>
              <w:pStyle w:val="4"/>
              <w:spacing w:line="360" w:lineRule="auto"/>
              <w:rPr>
                <w:rFonts w:ascii="华文细黑" w:hAnsi="华文细黑" w:eastAsia="华文细黑" w:cs="华文细黑"/>
                <w:szCs w:val="21"/>
              </w:rPr>
            </w:pPr>
            <w:r>
              <w:rPr>
                <w:rFonts w:hint="eastAsia" w:ascii="华文细黑" w:hAnsi="华文细黑" w:eastAsia="华文细黑" w:cs="华文细黑"/>
                <w:szCs w:val="21"/>
              </w:rPr>
              <w:t>9</w:t>
            </w:r>
          </w:p>
        </w:tc>
        <w:tc>
          <w:tcPr>
            <w:tcW w:w="1074"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电子手轮</w:t>
            </w:r>
          </w:p>
        </w:tc>
        <w:tc>
          <w:tcPr>
            <w:tcW w:w="2935"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手摇脉冲发生器，100PPR/5V</w:t>
            </w:r>
          </w:p>
        </w:tc>
        <w:tc>
          <w:tcPr>
            <w:tcW w:w="530"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1只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jc w:val="center"/>
        </w:trPr>
        <w:tc>
          <w:tcPr>
            <w:tcW w:w="459" w:type="pct"/>
            <w:vAlign w:val="center"/>
          </w:tcPr>
          <w:p>
            <w:pPr>
              <w:pStyle w:val="4"/>
              <w:spacing w:line="360" w:lineRule="auto"/>
              <w:rPr>
                <w:rFonts w:ascii="华文细黑" w:hAnsi="华文细黑" w:eastAsia="华文细黑" w:cs="华文细黑"/>
                <w:szCs w:val="21"/>
              </w:rPr>
            </w:pPr>
            <w:r>
              <w:rPr>
                <w:rFonts w:hint="eastAsia" w:ascii="华文细黑" w:hAnsi="华文细黑" w:eastAsia="华文细黑" w:cs="华文细黑"/>
                <w:szCs w:val="21"/>
              </w:rPr>
              <w:t>10</w:t>
            </w:r>
          </w:p>
        </w:tc>
        <w:tc>
          <w:tcPr>
            <w:tcW w:w="1074"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光电编码器</w:t>
            </w:r>
          </w:p>
        </w:tc>
        <w:tc>
          <w:tcPr>
            <w:tcW w:w="2935"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增量式，1024PPR/5V</w:t>
            </w:r>
          </w:p>
        </w:tc>
        <w:tc>
          <w:tcPr>
            <w:tcW w:w="530"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1只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59" w:type="pct"/>
            <w:vAlign w:val="center"/>
          </w:tcPr>
          <w:p>
            <w:pPr>
              <w:pStyle w:val="4"/>
              <w:spacing w:line="360" w:lineRule="auto"/>
              <w:rPr>
                <w:rFonts w:ascii="华文细黑" w:hAnsi="华文细黑" w:eastAsia="华文细黑" w:cs="华文细黑"/>
                <w:szCs w:val="21"/>
              </w:rPr>
            </w:pPr>
            <w:r>
              <w:rPr>
                <w:rFonts w:hint="eastAsia" w:ascii="华文细黑" w:hAnsi="华文细黑" w:eastAsia="华文细黑" w:cs="华文细黑"/>
                <w:szCs w:val="21"/>
              </w:rPr>
              <w:t>11</w:t>
            </w:r>
          </w:p>
        </w:tc>
        <w:tc>
          <w:tcPr>
            <w:tcW w:w="1074"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运动机构</w:t>
            </w:r>
          </w:p>
        </w:tc>
        <w:tc>
          <w:tcPr>
            <w:tcW w:w="2935"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X、Z轴有效行程300mm，包含滚珠丝杆、限位开关、底座、联轴器等</w:t>
            </w:r>
          </w:p>
        </w:tc>
        <w:tc>
          <w:tcPr>
            <w:tcW w:w="530"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1套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459" w:type="pct"/>
            <w:vAlign w:val="center"/>
          </w:tcPr>
          <w:p>
            <w:pPr>
              <w:pStyle w:val="4"/>
              <w:spacing w:line="360" w:lineRule="auto"/>
              <w:rPr>
                <w:rFonts w:ascii="华文细黑" w:hAnsi="华文细黑" w:eastAsia="华文细黑" w:cs="华文细黑"/>
                <w:szCs w:val="21"/>
              </w:rPr>
            </w:pPr>
            <w:r>
              <w:rPr>
                <w:rFonts w:hint="eastAsia" w:ascii="华文细黑" w:hAnsi="华文细黑" w:eastAsia="华文细黑" w:cs="华文细黑"/>
                <w:szCs w:val="21"/>
              </w:rPr>
              <w:t>12</w:t>
            </w:r>
          </w:p>
        </w:tc>
        <w:tc>
          <w:tcPr>
            <w:tcW w:w="1074"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智能考核系统</w:t>
            </w:r>
          </w:p>
        </w:tc>
        <w:tc>
          <w:tcPr>
            <w:tcW w:w="2935"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机床电气设故排故</w:t>
            </w:r>
          </w:p>
        </w:tc>
        <w:tc>
          <w:tcPr>
            <w:tcW w:w="530"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1套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59" w:type="pct"/>
            <w:vAlign w:val="center"/>
          </w:tcPr>
          <w:p>
            <w:pPr>
              <w:pStyle w:val="4"/>
              <w:spacing w:line="360" w:lineRule="auto"/>
              <w:rPr>
                <w:rFonts w:ascii="华文细黑" w:hAnsi="华文细黑" w:eastAsia="华文细黑" w:cs="华文细黑"/>
                <w:szCs w:val="21"/>
              </w:rPr>
            </w:pPr>
            <w:r>
              <w:rPr>
                <w:rFonts w:hint="eastAsia" w:ascii="华文细黑" w:hAnsi="华文细黑" w:eastAsia="华文细黑" w:cs="华文细黑"/>
                <w:szCs w:val="21"/>
              </w:rPr>
              <w:t>13</w:t>
            </w:r>
          </w:p>
        </w:tc>
        <w:tc>
          <w:tcPr>
            <w:tcW w:w="1074"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电器元件</w:t>
            </w:r>
          </w:p>
        </w:tc>
        <w:tc>
          <w:tcPr>
            <w:tcW w:w="2935"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漏电保护器、变压器、开关电源、断路器、交流接触器、继电器、传感器、连接线等</w:t>
            </w:r>
          </w:p>
        </w:tc>
        <w:tc>
          <w:tcPr>
            <w:tcW w:w="530"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1套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59" w:type="pct"/>
            <w:vAlign w:val="center"/>
          </w:tcPr>
          <w:p>
            <w:pPr>
              <w:pStyle w:val="4"/>
              <w:spacing w:line="360" w:lineRule="auto"/>
              <w:rPr>
                <w:rFonts w:ascii="华文细黑" w:hAnsi="华文细黑" w:eastAsia="华文细黑" w:cs="华文细黑"/>
                <w:szCs w:val="21"/>
              </w:rPr>
            </w:pPr>
            <w:r>
              <w:rPr>
                <w:rFonts w:hint="eastAsia" w:ascii="华文细黑" w:hAnsi="华文细黑" w:eastAsia="华文细黑" w:cs="华文细黑"/>
                <w:szCs w:val="21"/>
              </w:rPr>
              <w:t>14</w:t>
            </w:r>
          </w:p>
        </w:tc>
        <w:tc>
          <w:tcPr>
            <w:tcW w:w="1074"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数控升级改造模块</w:t>
            </w:r>
          </w:p>
        </w:tc>
        <w:tc>
          <w:tcPr>
            <w:tcW w:w="2935"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模拟执行机构及电气控制元件</w:t>
            </w:r>
          </w:p>
        </w:tc>
        <w:tc>
          <w:tcPr>
            <w:tcW w:w="530"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1套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jc w:val="center"/>
        </w:trPr>
        <w:tc>
          <w:tcPr>
            <w:tcW w:w="459" w:type="pct"/>
            <w:vAlign w:val="center"/>
          </w:tcPr>
          <w:p>
            <w:pPr>
              <w:pStyle w:val="4"/>
              <w:spacing w:line="360" w:lineRule="auto"/>
              <w:rPr>
                <w:rFonts w:ascii="华文细黑" w:hAnsi="华文细黑" w:eastAsia="华文细黑" w:cs="华文细黑"/>
                <w:szCs w:val="21"/>
              </w:rPr>
            </w:pPr>
            <w:r>
              <w:rPr>
                <w:rFonts w:hint="eastAsia" w:ascii="华文细黑" w:hAnsi="华文细黑" w:eastAsia="华文细黑" w:cs="华文细黑"/>
                <w:szCs w:val="21"/>
              </w:rPr>
              <w:t>15</w:t>
            </w:r>
          </w:p>
        </w:tc>
        <w:tc>
          <w:tcPr>
            <w:tcW w:w="1074"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技术资料</w:t>
            </w:r>
          </w:p>
        </w:tc>
        <w:tc>
          <w:tcPr>
            <w:tcW w:w="2935"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使用说明书、使用手册</w:t>
            </w:r>
          </w:p>
        </w:tc>
        <w:tc>
          <w:tcPr>
            <w:tcW w:w="530"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1套</w:t>
            </w:r>
          </w:p>
        </w:tc>
      </w:tr>
    </w:tbl>
    <w:p>
      <w:pPr>
        <w:spacing w:line="360" w:lineRule="auto"/>
        <w:rPr>
          <w:rFonts w:ascii="华文细黑" w:hAnsi="华文细黑" w:eastAsia="华文细黑" w:cs="华文细黑"/>
        </w:rPr>
      </w:pPr>
      <w:r>
        <w:rPr>
          <w:rFonts w:hint="eastAsia" w:ascii="华文细黑" w:hAnsi="华文细黑" w:eastAsia="华文细黑" w:cs="华文细黑"/>
        </w:rPr>
        <w:br w:type="page"/>
      </w:r>
    </w:p>
    <w:p>
      <w:pPr>
        <w:pStyle w:val="6"/>
        <w:spacing w:line="360" w:lineRule="auto"/>
        <w:ind w:left="0" w:right="0" w:rightChars="0"/>
        <w:rPr>
          <w:rFonts w:ascii="黑体" w:hAnsi="黑体" w:eastAsia="黑体" w:cs="黑体"/>
          <w:b/>
          <w:bCs/>
          <w:sz w:val="24"/>
          <w:szCs w:val="24"/>
        </w:rPr>
      </w:pPr>
      <w:r>
        <w:rPr>
          <w:rFonts w:hint="eastAsia" w:ascii="黑体" w:hAnsi="黑体" w:eastAsia="黑体" w:cs="黑体"/>
          <w:b/>
          <w:bCs/>
          <w:sz w:val="24"/>
          <w:szCs w:val="24"/>
        </w:rPr>
        <w:t xml:space="preserve">附件2：模块二  </w:t>
      </w:r>
      <w:r>
        <w:rPr>
          <w:rFonts w:hint="eastAsia" w:ascii="黑体" w:hAnsi="黑体" w:eastAsia="黑体" w:cs="黑体"/>
          <w:b/>
          <w:bCs/>
          <w:sz w:val="24"/>
          <w:szCs w:val="24"/>
          <w:lang w:val="zh-CN"/>
        </w:rPr>
        <w:t>机床机械系统的装调与维修</w:t>
      </w:r>
    </w:p>
    <w:p>
      <w:pPr>
        <w:spacing w:line="360" w:lineRule="auto"/>
        <w:jc w:val="center"/>
        <w:rPr>
          <w:rFonts w:ascii="黑体" w:hAnsi="黑体" w:eastAsia="黑体" w:cs="黑体"/>
          <w:b/>
          <w:bCs/>
          <w:sz w:val="24"/>
        </w:rPr>
      </w:pPr>
      <w:r>
        <w:rPr>
          <w:rFonts w:hint="eastAsia" w:ascii="黑体" w:hAnsi="黑体" w:eastAsia="黑体" w:cs="黑体"/>
          <w:b/>
          <w:bCs/>
          <w:sz w:val="24"/>
        </w:rPr>
        <w:t>YTLGC-5BE型 工业机械传动系统装调平台</w:t>
      </w:r>
    </w:p>
    <w:p>
      <w:pPr>
        <w:spacing w:line="360" w:lineRule="auto"/>
        <w:ind w:firstLine="480" w:firstLineChars="200"/>
        <w:rPr>
          <w:rFonts w:ascii="华文细黑" w:hAnsi="华文细黑" w:eastAsia="华文细黑" w:cs="华文细黑"/>
          <w:sz w:val="24"/>
        </w:rPr>
      </w:pPr>
      <w:r>
        <w:rPr>
          <w:rFonts w:hint="eastAsia" w:ascii="Noto Sans Mono CJK JP Regular" w:hAnsi="Noto Sans Mono CJK JP Regular" w:eastAsia="华文细黑" w:cs="Noto Sans Mono CJK JP Regular"/>
          <w:kern w:val="0"/>
          <w:sz w:val="24"/>
        </w:rPr>
        <w:t>一</w:t>
      </w:r>
      <w:r>
        <w:rPr>
          <w:rFonts w:hint="eastAsia" w:ascii="华文细黑" w:hAnsi="华文细黑" w:eastAsia="华文细黑" w:cs="华文细黑"/>
          <w:sz w:val="24"/>
        </w:rPr>
        <w:t>、技术性能</w:t>
      </w:r>
    </w:p>
    <w:p>
      <w:pPr>
        <w:spacing w:line="360" w:lineRule="auto"/>
        <w:ind w:firstLine="480" w:firstLineChars="200"/>
        <w:rPr>
          <w:rFonts w:ascii="华文细黑" w:hAnsi="华文细黑" w:eastAsia="华文细黑" w:cs="华文细黑"/>
          <w:sz w:val="24"/>
        </w:rPr>
      </w:pPr>
      <w:r>
        <w:rPr>
          <w:rFonts w:hint="eastAsia" w:ascii="Noto Sans Mono CJK JP Regular" w:hAnsi="Noto Sans Mono CJK JP Regular" w:eastAsia="华文细黑" w:cs="Noto Sans Mono CJK JP Regular"/>
          <w:kern w:val="0"/>
          <w:sz w:val="24"/>
        </w:rPr>
        <w:t>1</w:t>
      </w:r>
      <w:r>
        <w:rPr>
          <w:rFonts w:hint="eastAsia" w:ascii="华文细黑" w:hAnsi="华文细黑" w:eastAsia="华文细黑" w:cs="华文细黑"/>
          <w:sz w:val="24"/>
        </w:rPr>
        <w:t>.三相五线 AC380V±10%</w:t>
      </w:r>
      <w:r>
        <w:rPr>
          <w:rFonts w:hint="eastAsia" w:ascii="华文细黑" w:hAnsi="华文细黑" w:eastAsia="华文细黑" w:cs="华文细黑"/>
          <w:spacing w:val="-2"/>
          <w:sz w:val="24"/>
        </w:rPr>
        <w:t xml:space="preserve"> </w:t>
      </w:r>
      <w:r>
        <w:rPr>
          <w:rFonts w:hint="eastAsia" w:ascii="华文细黑" w:hAnsi="华文细黑" w:eastAsia="华文细黑" w:cs="华文细黑"/>
          <w:sz w:val="24"/>
        </w:rPr>
        <w:t xml:space="preserve">50Hz </w:t>
      </w:r>
    </w:p>
    <w:p>
      <w:pPr>
        <w:spacing w:line="360" w:lineRule="auto"/>
        <w:ind w:firstLine="480" w:firstLineChars="200"/>
        <w:rPr>
          <w:rFonts w:ascii="华文细黑" w:hAnsi="华文细黑" w:eastAsia="华文细黑" w:cs="华文细黑"/>
          <w:sz w:val="24"/>
        </w:rPr>
      </w:pPr>
      <w:r>
        <w:rPr>
          <w:rFonts w:hint="eastAsia" w:ascii="Noto Sans Mono CJK JP Regular" w:hAnsi="Noto Sans Mono CJK JP Regular" w:eastAsia="华文细黑" w:cs="Noto Sans Mono CJK JP Regular"/>
          <w:kern w:val="0"/>
          <w:sz w:val="24"/>
        </w:rPr>
        <w:t>2.</w:t>
      </w:r>
      <w:r>
        <w:rPr>
          <w:rFonts w:hint="eastAsia" w:ascii="华文细黑" w:hAnsi="华文细黑" w:eastAsia="华文细黑" w:cs="华文细黑"/>
          <w:sz w:val="24"/>
        </w:rPr>
        <w:t>工作环境：温度 -10℃～＜+40℃  相对湿度＜85%（25℃） 海拔＜4000m</w:t>
      </w:r>
    </w:p>
    <w:p>
      <w:pPr>
        <w:spacing w:line="360" w:lineRule="auto"/>
        <w:ind w:firstLine="480" w:firstLineChars="200"/>
        <w:rPr>
          <w:rFonts w:ascii="华文细黑" w:hAnsi="华文细黑" w:eastAsia="华文细黑" w:cs="华文细黑"/>
          <w:sz w:val="24"/>
        </w:rPr>
      </w:pPr>
      <w:r>
        <w:rPr>
          <w:rFonts w:hint="eastAsia" w:ascii="Noto Sans Mono CJK JP Regular" w:hAnsi="Noto Sans Mono CJK JP Regular" w:eastAsia="华文细黑" w:cs="Noto Sans Mono CJK JP Regular"/>
          <w:kern w:val="0"/>
          <w:sz w:val="24"/>
        </w:rPr>
        <w:t>3</w:t>
      </w:r>
      <w:r>
        <w:rPr>
          <w:rFonts w:hint="eastAsia" w:ascii="华文细黑" w:hAnsi="华文细黑" w:eastAsia="华文细黑" w:cs="华文细黑"/>
          <w:sz w:val="24"/>
        </w:rPr>
        <w:t>.电流型漏电保护，I△n ≤30mA，动作时间≤0.1s，容量10A</w:t>
      </w:r>
    </w:p>
    <w:p>
      <w:pPr>
        <w:spacing w:line="360" w:lineRule="auto"/>
        <w:ind w:firstLine="480" w:firstLineChars="200"/>
        <w:rPr>
          <w:rFonts w:ascii="华文细黑" w:hAnsi="华文细黑" w:eastAsia="华文细黑" w:cs="华文细黑"/>
          <w:sz w:val="24"/>
        </w:rPr>
      </w:pPr>
      <w:r>
        <w:rPr>
          <w:rFonts w:hint="eastAsia" w:ascii="Noto Sans Mono CJK JP Regular" w:hAnsi="Noto Sans Mono CJK JP Regular" w:eastAsia="华文细黑" w:cs="Noto Sans Mono CJK JP Regular"/>
          <w:kern w:val="0"/>
          <w:sz w:val="24"/>
        </w:rPr>
        <w:t>4.</w:t>
      </w:r>
      <w:r>
        <w:rPr>
          <w:rFonts w:hint="eastAsia" w:ascii="华文细黑" w:hAnsi="华文细黑" w:eastAsia="华文细黑" w:cs="华文细黑"/>
          <w:sz w:val="24"/>
        </w:rPr>
        <w:t>外形尺寸：装调平台1120mm×850mm×1600mm，钳工操作台1120mm×720mm×1600mm</w:t>
      </w:r>
    </w:p>
    <w:p>
      <w:pPr>
        <w:spacing w:line="360" w:lineRule="auto"/>
        <w:ind w:firstLine="480" w:firstLineChars="200"/>
        <w:rPr>
          <w:rFonts w:ascii="华文细黑" w:hAnsi="华文细黑" w:eastAsia="华文细黑" w:cs="华文细黑"/>
          <w:sz w:val="24"/>
        </w:rPr>
      </w:pPr>
      <w:r>
        <w:rPr>
          <w:rFonts w:hint="eastAsia" w:ascii="Noto Sans Mono CJK JP Regular" w:hAnsi="Noto Sans Mono CJK JP Regular" w:eastAsia="华文细黑" w:cs="Noto Sans Mono CJK JP Regular"/>
          <w:kern w:val="0"/>
          <w:sz w:val="24"/>
        </w:rPr>
        <w:t>二</w:t>
      </w:r>
      <w:r>
        <w:rPr>
          <w:rFonts w:hint="eastAsia" w:ascii="华文细黑" w:hAnsi="华文细黑" w:eastAsia="华文细黑" w:cs="华文细黑"/>
          <w:sz w:val="24"/>
        </w:rPr>
        <w:t>、主要配置及功能要求</w:t>
      </w:r>
    </w:p>
    <w:p>
      <w:pPr>
        <w:spacing w:line="360" w:lineRule="auto"/>
        <w:ind w:firstLine="480" w:firstLineChars="200"/>
        <w:rPr>
          <w:rFonts w:hint="eastAsia" w:ascii="Noto Sans Mono CJK JP Regular" w:hAnsi="Noto Sans Mono CJK JP Regular" w:eastAsia="华文细黑" w:cs="Noto Sans Mono CJK JP Regular"/>
          <w:kern w:val="0"/>
          <w:sz w:val="24"/>
        </w:rPr>
      </w:pPr>
      <w:bookmarkStart w:id="1" w:name="_Toc135917762"/>
      <w:bookmarkStart w:id="2" w:name="_Toc135916910"/>
      <w:r>
        <w:rPr>
          <w:rFonts w:hint="eastAsia" w:ascii="Noto Sans Mono CJK JP Regular" w:hAnsi="Noto Sans Mono CJK JP Regular" w:eastAsia="华文细黑" w:cs="Noto Sans Mono CJK JP Regular"/>
          <w:kern w:val="0"/>
          <w:sz w:val="24"/>
        </w:rPr>
        <w:t>1.</w:t>
      </w:r>
      <w:r>
        <w:rPr>
          <w:rFonts w:hint="eastAsia" w:ascii="华文细黑" w:hAnsi="华文细黑" w:eastAsia="华文细黑" w:cs="华文细黑"/>
          <w:sz w:val="24"/>
        </w:rPr>
        <w:t>装调平台</w:t>
      </w:r>
    </w:p>
    <w:p>
      <w:pPr>
        <w:spacing w:line="360" w:lineRule="auto"/>
        <w:ind w:firstLine="480" w:firstLineChars="200"/>
        <w:rPr>
          <w:rFonts w:ascii="华文细黑" w:hAnsi="华文细黑" w:eastAsia="华文细黑" w:cs="华文细黑"/>
          <w:sz w:val="24"/>
        </w:rPr>
      </w:pPr>
      <w:r>
        <w:rPr>
          <w:rFonts w:hint="eastAsia" w:ascii="Noto Sans Mono CJK JP Regular" w:hAnsi="Noto Sans Mono CJK JP Regular" w:eastAsia="华文细黑" w:cs="Noto Sans Mono CJK JP Regular"/>
          <w:kern w:val="0"/>
          <w:sz w:val="24"/>
        </w:rPr>
        <w:t>（1</w:t>
      </w:r>
      <w:r>
        <w:rPr>
          <w:rFonts w:hint="eastAsia" w:ascii="华文细黑" w:hAnsi="华文细黑" w:eastAsia="华文细黑" w:cs="华文细黑"/>
          <w:sz w:val="24"/>
        </w:rPr>
        <w:t>）平台整体采用钢制雨篷式结构设计，表面静电喷涂工艺处理，融合了现代化工业设计风格及造型。</w:t>
      </w:r>
    </w:p>
    <w:p>
      <w:pPr>
        <w:spacing w:line="360" w:lineRule="auto"/>
        <w:ind w:firstLine="480" w:firstLineChars="200"/>
        <w:rPr>
          <w:rFonts w:ascii="华文细黑" w:hAnsi="华文细黑" w:eastAsia="华文细黑" w:cs="华文细黑"/>
          <w:sz w:val="24"/>
        </w:rPr>
      </w:pPr>
      <w:r>
        <w:rPr>
          <w:rFonts w:hint="eastAsia" w:ascii="华文细黑" w:hAnsi="华文细黑" w:eastAsia="华文细黑" w:cs="华文细黑"/>
          <w:sz w:val="24"/>
        </w:rPr>
        <w:t>（2）平台左右侧前角为150度圆弧过渡，抽屉边框正面四角为R35圆角过渡，后侧为双开门结构样式。</w:t>
      </w:r>
    </w:p>
    <w:p>
      <w:pPr>
        <w:spacing w:line="360" w:lineRule="auto"/>
        <w:ind w:firstLine="480" w:firstLineChars="200"/>
        <w:rPr>
          <w:rFonts w:ascii="华文细黑" w:hAnsi="华文细黑" w:eastAsia="华文细黑" w:cs="华文细黑"/>
          <w:sz w:val="24"/>
        </w:rPr>
      </w:pPr>
      <w:r>
        <w:rPr>
          <w:rFonts w:hint="eastAsia" w:ascii="华文细黑" w:hAnsi="华文细黑" w:eastAsia="华文细黑" w:cs="华文细黑"/>
          <w:sz w:val="24"/>
        </w:rPr>
        <w:t>（3）左、右侧柱采用卡扣式安装，最小截面不小于60x11mm，最大截面不小于150x11mm，表面logo采用嵌套工艺UV打印。</w:t>
      </w:r>
    </w:p>
    <w:p>
      <w:pPr>
        <w:spacing w:line="360" w:lineRule="auto"/>
        <w:ind w:firstLine="480" w:firstLineChars="200"/>
        <w:rPr>
          <w:rFonts w:ascii="华文细黑" w:hAnsi="华文细黑" w:eastAsia="华文细黑" w:cs="华文细黑"/>
          <w:sz w:val="24"/>
        </w:rPr>
      </w:pPr>
      <w:r>
        <w:rPr>
          <w:rFonts w:hint="eastAsia" w:ascii="华文细黑" w:hAnsi="华文细黑" w:eastAsia="华文细黑" w:cs="华文细黑"/>
          <w:sz w:val="24"/>
        </w:rPr>
        <w:t>（4）顶部灯罩采用雨篷式结构，折边均采用圆弧过渡工艺，尺寸不小于1120x300x60mm，并设置有LED照明灯，照明透光区域不小于1000x150mm；</w:t>
      </w:r>
    </w:p>
    <w:p>
      <w:pPr>
        <w:spacing w:line="360" w:lineRule="auto"/>
        <w:ind w:firstLine="480" w:firstLineChars="200"/>
        <w:rPr>
          <w:rFonts w:ascii="华文细黑" w:hAnsi="华文细黑" w:eastAsia="华文细黑" w:cs="华文细黑"/>
          <w:sz w:val="24"/>
        </w:rPr>
      </w:pPr>
      <w:r>
        <w:rPr>
          <w:rFonts w:hint="eastAsia" w:ascii="华文细黑" w:hAnsi="华文细黑" w:eastAsia="华文细黑" w:cs="华文细黑"/>
          <w:sz w:val="24"/>
        </w:rPr>
        <w:t>（5）插座面板采用1.5mm优质冷轧钢板网孔板设计，可挂置零件盒，左、右侧设置有220V、380V电源插座，尺寸不小于1100x585x60mm。</w:t>
      </w:r>
    </w:p>
    <w:p>
      <w:pPr>
        <w:spacing w:line="360" w:lineRule="auto"/>
        <w:ind w:firstLine="480" w:firstLineChars="200"/>
        <w:rPr>
          <w:rFonts w:ascii="华文细黑" w:hAnsi="华文细黑" w:eastAsia="华文细黑" w:cs="华文细黑"/>
          <w:sz w:val="24"/>
        </w:rPr>
      </w:pPr>
      <w:r>
        <w:rPr>
          <w:rFonts w:hint="eastAsia" w:ascii="Noto Sans Mono CJK JP Regular" w:hAnsi="Noto Sans Mono CJK JP Regular" w:eastAsia="华文细黑" w:cs="Noto Sans Mono CJK JP Regular"/>
          <w:kern w:val="0"/>
          <w:sz w:val="24"/>
        </w:rPr>
        <w:t>（6）</w:t>
      </w:r>
      <w:r>
        <w:rPr>
          <w:rFonts w:hint="eastAsia" w:ascii="华文细黑" w:hAnsi="华文细黑" w:eastAsia="华文细黑" w:cs="华文细黑"/>
          <w:sz w:val="24"/>
        </w:rPr>
        <w:t>配有带安装槽的基准铸铁平板台面，平板台面T字槽型结构，材质为HT250，槽宽12mm，外形尺寸：1000×750×50mm，工作表面不低于0级精度。</w:t>
      </w:r>
    </w:p>
    <w:p>
      <w:pPr>
        <w:spacing w:line="360" w:lineRule="auto"/>
        <w:ind w:firstLine="480" w:firstLineChars="200"/>
        <w:rPr>
          <w:rFonts w:ascii="华文细黑" w:hAnsi="华文细黑" w:eastAsia="华文细黑" w:cs="华文细黑"/>
          <w:sz w:val="24"/>
        </w:rPr>
      </w:pPr>
      <w:r>
        <w:rPr>
          <w:rFonts w:hint="eastAsia" w:ascii="华文细黑" w:hAnsi="华文细黑" w:eastAsia="华文细黑" w:cs="华文细黑"/>
          <w:sz w:val="24"/>
        </w:rPr>
        <w:t>（7）配有上槽轨组件，槽宽10mm；上槽轨组件应可调节地设置在下槽轨组件上，实训组件可调节地设置在所述上槽轨组件上。</w:t>
      </w:r>
    </w:p>
    <w:p>
      <w:pPr>
        <w:spacing w:line="360" w:lineRule="auto"/>
        <w:ind w:firstLine="480" w:firstLineChars="200"/>
        <w:rPr>
          <w:rFonts w:ascii="华文细黑" w:hAnsi="华文细黑" w:eastAsia="华文细黑" w:cs="华文细黑"/>
          <w:sz w:val="24"/>
        </w:rPr>
      </w:pPr>
      <w:r>
        <w:rPr>
          <w:rFonts w:hint="eastAsia" w:ascii="华文细黑" w:hAnsi="华文细黑" w:eastAsia="华文细黑" w:cs="华文细黑"/>
          <w:sz w:val="24"/>
        </w:rPr>
        <w:t>（8）配套有可观察式防护罩（2×2面），内设有安全保障系统，可对传动部件运行空间进行防护。</w:t>
      </w:r>
    </w:p>
    <w:p>
      <w:pPr>
        <w:spacing w:line="360" w:lineRule="auto"/>
        <w:ind w:firstLine="480" w:firstLineChars="200"/>
        <w:rPr>
          <w:rFonts w:ascii="华文细黑" w:hAnsi="华文细黑" w:eastAsia="华文细黑" w:cs="华文细黑"/>
          <w:sz w:val="24"/>
        </w:rPr>
      </w:pPr>
      <w:r>
        <w:rPr>
          <w:rFonts w:hint="eastAsia" w:ascii="华文细黑" w:hAnsi="华文细黑" w:eastAsia="华文细黑" w:cs="华文细黑"/>
          <w:sz w:val="24"/>
        </w:rPr>
        <w:t>（9）设有存储抽屉，抽屉把手采用嵌套式工艺，把手区域不小于240x25mm，抽屉面板顶部和底部采用圆角工艺设计，抽屉总个数不少于7个，每层抽屉采用22寸阻尼加厚静音款三节轨；内腔存放盒≧5个，尺寸≧500x550*50mm，方便实训零件、资料等的放置及管理。</w:t>
      </w:r>
    </w:p>
    <w:p>
      <w:pPr>
        <w:spacing w:line="360" w:lineRule="auto"/>
        <w:ind w:firstLine="480" w:firstLineChars="200"/>
        <w:rPr>
          <w:rFonts w:ascii="华文细黑" w:hAnsi="华文细黑" w:eastAsia="华文细黑" w:cs="华文细黑"/>
          <w:sz w:val="24"/>
        </w:rPr>
      </w:pPr>
      <w:r>
        <w:rPr>
          <w:rFonts w:hint="eastAsia" w:ascii="华文细黑" w:hAnsi="华文细黑" w:eastAsia="华文细黑" w:cs="华文细黑"/>
          <w:sz w:val="24"/>
        </w:rPr>
        <w:t>（10）底部采用工业级福马轮，单轮承重不小于500kg，并设置有水平调节底脚，移动、定位方便。</w:t>
      </w:r>
    </w:p>
    <w:p>
      <w:pPr>
        <w:spacing w:line="360" w:lineRule="auto"/>
        <w:ind w:firstLine="480" w:firstLineChars="200"/>
        <w:rPr>
          <w:rFonts w:ascii="华文细黑" w:hAnsi="华文细黑" w:eastAsia="华文细黑" w:cs="华文细黑"/>
          <w:sz w:val="24"/>
        </w:rPr>
      </w:pPr>
      <w:r>
        <w:rPr>
          <w:rFonts w:hint="eastAsia" w:ascii="Noto Sans Mono CJK JP Regular" w:hAnsi="Noto Sans Mono CJK JP Regular" w:eastAsia="华文细黑" w:cs="Noto Sans Mono CJK JP Regular"/>
          <w:kern w:val="0"/>
          <w:sz w:val="24"/>
        </w:rPr>
        <w:t>2</w:t>
      </w:r>
      <w:r>
        <w:rPr>
          <w:rFonts w:hint="eastAsia" w:ascii="华文细黑" w:hAnsi="华文细黑" w:eastAsia="华文细黑" w:cs="华文细黑"/>
          <w:sz w:val="24"/>
        </w:rPr>
        <w:t>.电控箱</w:t>
      </w:r>
    </w:p>
    <w:p>
      <w:pPr>
        <w:spacing w:line="360" w:lineRule="auto"/>
        <w:ind w:firstLine="480" w:firstLineChars="200"/>
        <w:rPr>
          <w:rFonts w:ascii="华文细黑" w:hAnsi="华文细黑" w:eastAsia="华文细黑" w:cs="华文细黑"/>
          <w:sz w:val="24"/>
        </w:rPr>
      </w:pPr>
      <w:r>
        <w:rPr>
          <w:rFonts w:hint="eastAsia" w:ascii="华文细黑" w:hAnsi="华文细黑" w:eastAsia="华文细黑" w:cs="华文细黑"/>
          <w:sz w:val="24"/>
        </w:rPr>
        <w:t>（</w:t>
      </w:r>
      <w:r>
        <w:rPr>
          <w:rFonts w:hint="eastAsia" w:ascii="Noto Sans Mono CJK JP Regular" w:hAnsi="Noto Sans Mono CJK JP Regular" w:eastAsia="华文细黑" w:cs="Noto Sans Mono CJK JP Regular"/>
          <w:kern w:val="0"/>
          <w:sz w:val="24"/>
        </w:rPr>
        <w:t>1</w:t>
      </w:r>
      <w:r>
        <w:rPr>
          <w:rFonts w:hint="eastAsia" w:ascii="华文细黑" w:hAnsi="华文细黑" w:eastAsia="华文细黑" w:cs="华文细黑"/>
          <w:sz w:val="24"/>
        </w:rPr>
        <w:t>）电控箱为优质冷轧钢板材质，表面密纹喷塑处理，应采用滑动隐藏收纳设计；</w:t>
      </w:r>
    </w:p>
    <w:p>
      <w:pPr>
        <w:spacing w:line="360" w:lineRule="auto"/>
        <w:ind w:firstLine="480" w:firstLineChars="200"/>
        <w:rPr>
          <w:rFonts w:ascii="华文细黑" w:hAnsi="华文细黑" w:eastAsia="华文细黑" w:cs="华文细黑"/>
          <w:sz w:val="24"/>
        </w:rPr>
      </w:pPr>
      <w:r>
        <w:rPr>
          <w:rFonts w:hint="eastAsia" w:ascii="华文细黑" w:hAnsi="华文细黑" w:eastAsia="华文细黑" w:cs="华文细黑"/>
          <w:sz w:val="24"/>
        </w:rPr>
        <w:t>（</w:t>
      </w:r>
      <w:r>
        <w:rPr>
          <w:rFonts w:hint="eastAsia" w:ascii="Noto Sans Mono CJK JP Regular" w:hAnsi="Noto Sans Mono CJK JP Regular" w:eastAsia="华文细黑" w:cs="Noto Sans Mono CJK JP Regular"/>
          <w:kern w:val="0"/>
          <w:sz w:val="24"/>
        </w:rPr>
        <w:t>2）</w:t>
      </w:r>
      <w:r>
        <w:rPr>
          <w:rFonts w:hint="eastAsia" w:ascii="华文细黑" w:hAnsi="华文细黑" w:eastAsia="华文细黑" w:cs="华文细黑"/>
          <w:sz w:val="24"/>
        </w:rPr>
        <w:t>工业变频器1个：额定功率≧0.37 kW，有 60 秒 150 % 过载，I/O 接口：4DI/2DO/2AI，支持USS/MODBUS RTU总线通讯。</w:t>
      </w:r>
    </w:p>
    <w:p>
      <w:pPr>
        <w:spacing w:line="360" w:lineRule="auto"/>
        <w:ind w:firstLine="480" w:firstLineChars="200"/>
        <w:rPr>
          <w:rFonts w:ascii="华文细黑" w:hAnsi="华文细黑" w:eastAsia="华文细黑" w:cs="华文细黑"/>
          <w:sz w:val="24"/>
        </w:rPr>
      </w:pPr>
      <w:r>
        <w:rPr>
          <w:rFonts w:hint="eastAsia" w:ascii="华文细黑" w:hAnsi="华文细黑" w:eastAsia="华文细黑" w:cs="华文细黑"/>
          <w:sz w:val="24"/>
        </w:rPr>
        <w:t>（</w:t>
      </w:r>
      <w:r>
        <w:rPr>
          <w:rFonts w:hint="eastAsia" w:ascii="Noto Sans Mono CJK JP Regular" w:hAnsi="Noto Sans Mono CJK JP Regular" w:eastAsia="华文细黑" w:cs="Noto Sans Mono CJK JP Regular"/>
          <w:kern w:val="0"/>
          <w:sz w:val="24"/>
        </w:rPr>
        <w:t>3）</w:t>
      </w:r>
      <w:r>
        <w:rPr>
          <w:rFonts w:hint="eastAsia" w:ascii="华文细黑" w:hAnsi="华文细黑" w:eastAsia="华文细黑" w:cs="华文细黑"/>
          <w:sz w:val="24"/>
        </w:rPr>
        <w:t>配有转换开关1个、钥匙开关1个、保护器1个、接触器1个、继电器4个、24VDC/5A直流电源1个、RJ45接口模块1个、外置接口模块1个等电气部件。</w:t>
      </w:r>
    </w:p>
    <w:p>
      <w:pPr>
        <w:spacing w:line="360" w:lineRule="auto"/>
        <w:ind w:firstLine="480" w:firstLineChars="200"/>
        <w:rPr>
          <w:rFonts w:ascii="华文细黑" w:hAnsi="华文细黑" w:eastAsia="华文细黑" w:cs="华文细黑"/>
          <w:sz w:val="24"/>
        </w:rPr>
      </w:pPr>
      <w:r>
        <w:rPr>
          <w:rFonts w:hint="eastAsia" w:ascii="华文细黑" w:hAnsi="华文细黑" w:eastAsia="华文细黑" w:cs="华文细黑"/>
          <w:sz w:val="24"/>
        </w:rPr>
        <w:t>（</w:t>
      </w:r>
      <w:r>
        <w:rPr>
          <w:rFonts w:hint="eastAsia" w:ascii="Noto Sans Mono CJK JP Regular" w:hAnsi="Noto Sans Mono CJK JP Regular" w:eastAsia="华文细黑" w:cs="Noto Sans Mono CJK JP Regular"/>
          <w:kern w:val="0"/>
          <w:sz w:val="24"/>
        </w:rPr>
        <w:t>4）</w:t>
      </w:r>
      <w:r>
        <w:rPr>
          <w:rFonts w:hint="eastAsia" w:ascii="华文细黑" w:hAnsi="华文细黑" w:eastAsia="华文细黑" w:cs="华文细黑"/>
          <w:sz w:val="24"/>
        </w:rPr>
        <w:t>外部操作面板1块，具有工作状态液晶显示、工作模式控制、运行和停止控制、运行速度控制等功能。</w:t>
      </w:r>
    </w:p>
    <w:bookmarkEnd w:id="1"/>
    <w:bookmarkEnd w:id="2"/>
    <w:p>
      <w:pPr>
        <w:spacing w:line="360" w:lineRule="auto"/>
        <w:ind w:firstLine="480" w:firstLineChars="200"/>
        <w:rPr>
          <w:rFonts w:ascii="华文细黑" w:hAnsi="华文细黑" w:eastAsia="华文细黑" w:cs="华文细黑"/>
          <w:sz w:val="24"/>
        </w:rPr>
      </w:pPr>
      <w:r>
        <w:rPr>
          <w:rFonts w:hint="eastAsia" w:ascii="Noto Sans Mono CJK JP Regular" w:hAnsi="Noto Sans Mono CJK JP Regular" w:eastAsia="华文细黑" w:cs="Noto Sans Mono CJK JP Regular"/>
          <w:kern w:val="0"/>
          <w:sz w:val="24"/>
        </w:rPr>
        <w:t>3.</w:t>
      </w:r>
      <w:r>
        <w:rPr>
          <w:rFonts w:hint="eastAsia" w:ascii="华文细黑" w:hAnsi="华文细黑" w:eastAsia="华文细黑" w:cs="华文细黑"/>
          <w:sz w:val="24"/>
        </w:rPr>
        <w:t>基本实训组件</w:t>
      </w:r>
    </w:p>
    <w:p>
      <w:pPr>
        <w:widowControl/>
        <w:spacing w:line="360" w:lineRule="auto"/>
        <w:ind w:firstLine="480" w:firstLineChars="200"/>
        <w:rPr>
          <w:rFonts w:ascii="华文细黑" w:hAnsi="华文细黑" w:eastAsia="华文细黑" w:cs="华文细黑"/>
          <w:sz w:val="24"/>
        </w:rPr>
      </w:pPr>
      <w:r>
        <w:rPr>
          <w:rFonts w:hint="eastAsia" w:ascii="Noto Sans Mono CJK JP Regular" w:hAnsi="Noto Sans Mono CJK JP Regular" w:eastAsia="华文细黑" w:cs="Noto Sans Mono CJK JP Regular"/>
          <w:kern w:val="0"/>
          <w:sz w:val="24"/>
        </w:rPr>
        <w:t>（1）</w:t>
      </w:r>
      <w:r>
        <w:rPr>
          <w:rFonts w:hint="eastAsia" w:ascii="华文细黑" w:hAnsi="华文细黑" w:eastAsia="华文细黑" w:cs="华文细黑"/>
          <w:sz w:val="24"/>
        </w:rPr>
        <w:t>变频驱动电机1台：额定功率≥0.37kW，输入电压AC380V。</w:t>
      </w:r>
    </w:p>
    <w:p>
      <w:pPr>
        <w:widowControl/>
        <w:spacing w:line="360" w:lineRule="auto"/>
        <w:ind w:firstLine="480" w:firstLineChars="200"/>
        <w:rPr>
          <w:rFonts w:ascii="华文细黑" w:hAnsi="华文细黑" w:eastAsia="华文细黑" w:cs="华文细黑"/>
          <w:sz w:val="24"/>
        </w:rPr>
      </w:pPr>
      <w:r>
        <w:rPr>
          <w:rFonts w:hint="eastAsia" w:ascii="Noto Sans Mono CJK JP Regular" w:hAnsi="Noto Sans Mono CJK JP Regular" w:eastAsia="华文细黑" w:cs="Noto Sans Mono CJK JP Regular"/>
          <w:kern w:val="0"/>
          <w:sz w:val="24"/>
        </w:rPr>
        <w:t>（2）</w:t>
      </w:r>
      <w:r>
        <w:rPr>
          <w:rFonts w:hint="eastAsia" w:ascii="华文细黑" w:hAnsi="华文细黑" w:eastAsia="华文细黑" w:cs="华文细黑"/>
          <w:sz w:val="24"/>
        </w:rPr>
        <w:t>机械部件：配有</w:t>
      </w:r>
      <w:r>
        <w:rPr>
          <w:rFonts w:hint="eastAsia" w:ascii="华文细黑" w:hAnsi="华文细黑" w:eastAsia="华文细黑" w:cs="华文细黑"/>
          <w:sz w:val="24"/>
          <w:lang w:val="zh-CN"/>
        </w:rPr>
        <w:t>传动轴</w:t>
      </w:r>
      <w:r>
        <w:rPr>
          <w:rFonts w:hint="eastAsia" w:ascii="华文细黑" w:hAnsi="华文细黑" w:eastAsia="华文细黑" w:cs="华文细黑"/>
          <w:sz w:val="24"/>
        </w:rPr>
        <w:t>、联轴器、轴承座等公用机械零部件。</w:t>
      </w:r>
    </w:p>
    <w:p>
      <w:pPr>
        <w:widowControl/>
        <w:spacing w:line="360" w:lineRule="auto"/>
        <w:ind w:firstLine="480" w:firstLineChars="200"/>
        <w:rPr>
          <w:rFonts w:ascii="华文细黑" w:hAnsi="华文细黑" w:eastAsia="华文细黑" w:cs="华文细黑"/>
          <w:sz w:val="24"/>
        </w:rPr>
      </w:pPr>
      <w:r>
        <w:rPr>
          <w:rFonts w:hint="eastAsia" w:ascii="华文细黑" w:hAnsi="华文细黑" w:eastAsia="华文细黑" w:cs="华文细黑"/>
          <w:sz w:val="24"/>
        </w:rPr>
        <w:t>配置如下：</w:t>
      </w:r>
    </w:p>
    <w:tbl>
      <w:tblPr>
        <w:tblStyle w:val="13"/>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4"/>
        <w:gridCol w:w="2222"/>
        <w:gridCol w:w="4155"/>
        <w:gridCol w:w="776"/>
        <w:gridCol w:w="6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trPr>
        <w:tc>
          <w:tcPr>
            <w:tcW w:w="395" w:type="pct"/>
            <w:vAlign w:val="center"/>
          </w:tcPr>
          <w:p>
            <w:pPr>
              <w:spacing w:line="360" w:lineRule="auto"/>
              <w:jc w:val="center"/>
              <w:rPr>
                <w:rFonts w:ascii="华文细黑" w:hAnsi="华文细黑" w:eastAsia="华文细黑" w:cs="华文细黑"/>
                <w:b/>
                <w:bCs/>
                <w:szCs w:val="21"/>
                <w:lang w:val="zh-CN"/>
              </w:rPr>
            </w:pPr>
            <w:r>
              <w:rPr>
                <w:rFonts w:hint="eastAsia" w:ascii="华文细黑" w:hAnsi="华文细黑" w:eastAsia="华文细黑" w:cs="华文细黑"/>
                <w:b/>
                <w:bCs/>
                <w:szCs w:val="21"/>
                <w:lang w:val="zh-CN"/>
              </w:rPr>
              <w:t>序号</w:t>
            </w:r>
          </w:p>
        </w:tc>
        <w:tc>
          <w:tcPr>
            <w:tcW w:w="1303" w:type="pct"/>
            <w:vAlign w:val="center"/>
          </w:tcPr>
          <w:p>
            <w:pPr>
              <w:spacing w:line="360" w:lineRule="auto"/>
              <w:jc w:val="center"/>
              <w:rPr>
                <w:rFonts w:ascii="华文细黑" w:hAnsi="华文细黑" w:eastAsia="华文细黑" w:cs="华文细黑"/>
                <w:b/>
                <w:bCs/>
                <w:szCs w:val="21"/>
                <w:lang w:val="zh-CN"/>
              </w:rPr>
            </w:pPr>
            <w:r>
              <w:rPr>
                <w:rFonts w:hint="eastAsia" w:ascii="华文细黑" w:hAnsi="华文细黑" w:eastAsia="华文细黑" w:cs="华文细黑"/>
                <w:b/>
                <w:bCs/>
                <w:szCs w:val="21"/>
                <w:lang w:val="zh-CN"/>
              </w:rPr>
              <w:t>名称</w:t>
            </w:r>
          </w:p>
        </w:tc>
        <w:tc>
          <w:tcPr>
            <w:tcW w:w="2436" w:type="pct"/>
            <w:vAlign w:val="center"/>
          </w:tcPr>
          <w:p>
            <w:pPr>
              <w:spacing w:line="360" w:lineRule="auto"/>
              <w:jc w:val="center"/>
              <w:rPr>
                <w:rFonts w:ascii="华文细黑" w:hAnsi="华文细黑" w:eastAsia="华文细黑" w:cs="华文细黑"/>
                <w:b/>
                <w:bCs/>
                <w:szCs w:val="21"/>
                <w:lang w:val="zh-CN"/>
              </w:rPr>
            </w:pPr>
            <w:r>
              <w:rPr>
                <w:rFonts w:hint="eastAsia" w:ascii="华文细黑" w:hAnsi="华文细黑" w:eastAsia="华文细黑" w:cs="华文细黑"/>
                <w:b/>
                <w:bCs/>
                <w:szCs w:val="21"/>
                <w:lang w:val="zh-CN"/>
              </w:rPr>
              <w:t>规格</w:t>
            </w:r>
          </w:p>
        </w:tc>
        <w:tc>
          <w:tcPr>
            <w:tcW w:w="455" w:type="pct"/>
            <w:vAlign w:val="center"/>
          </w:tcPr>
          <w:p>
            <w:pPr>
              <w:spacing w:line="360" w:lineRule="auto"/>
              <w:jc w:val="center"/>
              <w:rPr>
                <w:rFonts w:ascii="华文细黑" w:hAnsi="华文细黑" w:eastAsia="华文细黑" w:cs="华文细黑"/>
                <w:b/>
                <w:bCs/>
                <w:szCs w:val="21"/>
                <w:lang w:val="zh-CN"/>
              </w:rPr>
            </w:pPr>
            <w:r>
              <w:rPr>
                <w:rFonts w:hint="eastAsia" w:ascii="华文细黑" w:hAnsi="华文细黑" w:eastAsia="华文细黑" w:cs="华文细黑"/>
                <w:b/>
                <w:bCs/>
                <w:szCs w:val="21"/>
                <w:lang w:val="zh-CN"/>
              </w:rPr>
              <w:t>单位</w:t>
            </w:r>
          </w:p>
        </w:tc>
        <w:tc>
          <w:tcPr>
            <w:tcW w:w="409" w:type="pct"/>
            <w:vAlign w:val="center"/>
          </w:tcPr>
          <w:p>
            <w:pPr>
              <w:spacing w:line="360" w:lineRule="auto"/>
              <w:jc w:val="center"/>
              <w:rPr>
                <w:rFonts w:ascii="华文细黑" w:hAnsi="华文细黑" w:eastAsia="华文细黑" w:cs="华文细黑"/>
                <w:b/>
                <w:bCs/>
                <w:szCs w:val="21"/>
                <w:lang w:val="zh-CN"/>
              </w:rPr>
            </w:pPr>
            <w:r>
              <w:rPr>
                <w:rFonts w:hint="eastAsia" w:ascii="华文细黑" w:hAnsi="华文细黑" w:eastAsia="华文细黑" w:cs="华文细黑"/>
                <w:b/>
                <w:bCs/>
                <w:szCs w:val="21"/>
                <w:lang w:val="zh-CN"/>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trPr>
        <w:tc>
          <w:tcPr>
            <w:tcW w:w="395"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1</w:t>
            </w:r>
          </w:p>
        </w:tc>
        <w:tc>
          <w:tcPr>
            <w:tcW w:w="1303" w:type="pct"/>
            <w:vAlign w:val="center"/>
          </w:tcPr>
          <w:p>
            <w:pPr>
              <w:jc w:val="center"/>
              <w:rPr>
                <w:rFonts w:ascii="华文细黑" w:hAnsi="华文细黑" w:eastAsia="华文细黑" w:cs="华文细黑"/>
                <w:szCs w:val="21"/>
                <w:lang w:val="zh-CN"/>
              </w:rPr>
            </w:pPr>
            <w:r>
              <w:rPr>
                <w:rFonts w:hint="eastAsia" w:ascii="华文细黑" w:hAnsi="华文细黑" w:eastAsia="华文细黑" w:cs="华文细黑"/>
                <w:szCs w:val="21"/>
              </w:rPr>
              <w:t>传动轴</w:t>
            </w:r>
          </w:p>
        </w:tc>
        <w:tc>
          <w:tcPr>
            <w:tcW w:w="2436" w:type="pct"/>
            <w:vAlign w:val="center"/>
          </w:tcPr>
          <w:p>
            <w:pPr>
              <w:rPr>
                <w:rFonts w:ascii="华文细黑" w:hAnsi="华文细黑" w:eastAsia="华文细黑" w:cs="华文细黑"/>
                <w:szCs w:val="21"/>
                <w:lang w:val="zh-CN"/>
              </w:rPr>
            </w:pPr>
            <w:r>
              <w:rPr>
                <w:rFonts w:hint="eastAsia" w:ascii="华文细黑" w:hAnsi="华文细黑" w:eastAsia="华文细黑" w:cs="华文细黑"/>
                <w:szCs w:val="21"/>
              </w:rPr>
              <w:t>Ø20mm×225mm，带键槽</w:t>
            </w:r>
          </w:p>
        </w:tc>
        <w:tc>
          <w:tcPr>
            <w:tcW w:w="455" w:type="pct"/>
            <w:vAlign w:val="center"/>
          </w:tcPr>
          <w:p>
            <w:pPr>
              <w:jc w:val="center"/>
              <w:rPr>
                <w:rFonts w:ascii="华文细黑" w:hAnsi="华文细黑" w:eastAsia="华文细黑" w:cs="华文细黑"/>
                <w:szCs w:val="21"/>
                <w:lang w:val="zh-CN"/>
              </w:rPr>
            </w:pPr>
            <w:r>
              <w:rPr>
                <w:rFonts w:hint="eastAsia" w:ascii="华文细黑" w:hAnsi="华文细黑" w:eastAsia="华文细黑" w:cs="华文细黑"/>
                <w:szCs w:val="21"/>
              </w:rPr>
              <w:t>根</w:t>
            </w:r>
          </w:p>
        </w:tc>
        <w:tc>
          <w:tcPr>
            <w:tcW w:w="409" w:type="pct"/>
            <w:vAlign w:val="center"/>
          </w:tcPr>
          <w:p>
            <w:pPr>
              <w:jc w:val="center"/>
              <w:rPr>
                <w:rFonts w:ascii="华文细黑" w:hAnsi="华文细黑" w:eastAsia="华文细黑" w:cs="华文细黑"/>
                <w:szCs w:val="21"/>
                <w:lang w:val="zh-CN"/>
              </w:rPr>
            </w:pPr>
            <w:r>
              <w:rPr>
                <w:rFonts w:hint="eastAsia" w:ascii="华文细黑" w:hAnsi="华文细黑" w:eastAsia="华文细黑" w:cs="华文细黑"/>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trPr>
        <w:tc>
          <w:tcPr>
            <w:tcW w:w="395"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2</w:t>
            </w:r>
          </w:p>
        </w:tc>
        <w:tc>
          <w:tcPr>
            <w:tcW w:w="1303" w:type="pct"/>
            <w:vAlign w:val="center"/>
          </w:tcPr>
          <w:p>
            <w:pPr>
              <w:jc w:val="center"/>
              <w:rPr>
                <w:rFonts w:ascii="华文细黑" w:hAnsi="华文细黑" w:eastAsia="华文细黑" w:cs="华文细黑"/>
                <w:szCs w:val="21"/>
                <w:lang w:val="zh-CN"/>
              </w:rPr>
            </w:pPr>
            <w:r>
              <w:rPr>
                <w:rFonts w:hint="eastAsia" w:ascii="华文细黑" w:hAnsi="华文细黑" w:eastAsia="华文细黑" w:cs="华文细黑"/>
                <w:szCs w:val="21"/>
              </w:rPr>
              <w:t>传动轴</w:t>
            </w:r>
          </w:p>
        </w:tc>
        <w:tc>
          <w:tcPr>
            <w:tcW w:w="2436" w:type="pct"/>
            <w:vAlign w:val="center"/>
          </w:tcPr>
          <w:p>
            <w:pPr>
              <w:rPr>
                <w:rFonts w:ascii="华文细黑" w:hAnsi="华文细黑" w:eastAsia="华文细黑" w:cs="华文细黑"/>
                <w:szCs w:val="21"/>
                <w:lang w:val="zh-CN"/>
              </w:rPr>
            </w:pPr>
            <w:r>
              <w:rPr>
                <w:rFonts w:hint="eastAsia" w:ascii="华文细黑" w:hAnsi="华文细黑" w:eastAsia="华文细黑" w:cs="华文细黑"/>
                <w:szCs w:val="21"/>
              </w:rPr>
              <w:t>Ø20mm×350mm，带键槽</w:t>
            </w:r>
          </w:p>
        </w:tc>
        <w:tc>
          <w:tcPr>
            <w:tcW w:w="455" w:type="pct"/>
            <w:vAlign w:val="center"/>
          </w:tcPr>
          <w:p>
            <w:pPr>
              <w:jc w:val="center"/>
              <w:rPr>
                <w:rFonts w:ascii="华文细黑" w:hAnsi="华文细黑" w:eastAsia="华文细黑" w:cs="华文细黑"/>
                <w:szCs w:val="21"/>
                <w:lang w:val="zh-CN"/>
              </w:rPr>
            </w:pPr>
            <w:r>
              <w:rPr>
                <w:rFonts w:hint="eastAsia" w:ascii="华文细黑" w:hAnsi="华文细黑" w:eastAsia="华文细黑" w:cs="华文细黑"/>
                <w:szCs w:val="21"/>
              </w:rPr>
              <w:t>根</w:t>
            </w:r>
          </w:p>
        </w:tc>
        <w:tc>
          <w:tcPr>
            <w:tcW w:w="409" w:type="pct"/>
            <w:vAlign w:val="center"/>
          </w:tcPr>
          <w:p>
            <w:pPr>
              <w:jc w:val="center"/>
              <w:rPr>
                <w:rFonts w:ascii="华文细黑" w:hAnsi="华文细黑" w:eastAsia="华文细黑" w:cs="华文细黑"/>
                <w:szCs w:val="21"/>
                <w:lang w:val="zh-CN"/>
              </w:rPr>
            </w:pPr>
            <w:r>
              <w:rPr>
                <w:rFonts w:hint="eastAsia" w:ascii="华文细黑" w:hAnsi="华文细黑" w:eastAsia="华文细黑" w:cs="华文细黑"/>
                <w:szCs w:val="21"/>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trPr>
        <w:tc>
          <w:tcPr>
            <w:tcW w:w="395"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3</w:t>
            </w:r>
          </w:p>
        </w:tc>
        <w:tc>
          <w:tcPr>
            <w:tcW w:w="1303" w:type="pct"/>
            <w:vAlign w:val="center"/>
          </w:tcPr>
          <w:p>
            <w:pPr>
              <w:jc w:val="center"/>
              <w:rPr>
                <w:rFonts w:ascii="华文细黑" w:hAnsi="华文细黑" w:eastAsia="华文细黑" w:cs="华文细黑"/>
                <w:szCs w:val="21"/>
                <w:lang w:val="zh-CN"/>
              </w:rPr>
            </w:pPr>
            <w:r>
              <w:rPr>
                <w:rFonts w:hint="eastAsia" w:ascii="华文细黑" w:hAnsi="华文细黑" w:eastAsia="华文细黑" w:cs="华文细黑"/>
                <w:szCs w:val="21"/>
              </w:rPr>
              <w:t>梅花联轴器</w:t>
            </w:r>
          </w:p>
        </w:tc>
        <w:tc>
          <w:tcPr>
            <w:tcW w:w="2436" w:type="pct"/>
            <w:vAlign w:val="center"/>
          </w:tcPr>
          <w:p>
            <w:pPr>
              <w:rPr>
                <w:rFonts w:ascii="华文细黑" w:hAnsi="华文细黑" w:eastAsia="华文细黑" w:cs="华文细黑"/>
                <w:szCs w:val="21"/>
                <w:lang w:val="zh-CN"/>
              </w:rPr>
            </w:pPr>
            <w:r>
              <w:rPr>
                <w:rFonts w:hint="eastAsia" w:ascii="华文细黑" w:hAnsi="华文细黑" w:eastAsia="华文细黑" w:cs="华文细黑"/>
                <w:szCs w:val="21"/>
              </w:rPr>
              <w:t>外径65，长度90，轴孔14/20，轴孔20/20，带键槽和顶丝</w:t>
            </w:r>
          </w:p>
        </w:tc>
        <w:tc>
          <w:tcPr>
            <w:tcW w:w="455" w:type="pct"/>
            <w:vAlign w:val="center"/>
          </w:tcPr>
          <w:p>
            <w:pPr>
              <w:jc w:val="center"/>
              <w:rPr>
                <w:rFonts w:ascii="华文细黑" w:hAnsi="华文细黑" w:eastAsia="华文细黑" w:cs="华文细黑"/>
                <w:szCs w:val="21"/>
                <w:lang w:val="zh-CN"/>
              </w:rPr>
            </w:pPr>
            <w:r>
              <w:rPr>
                <w:rFonts w:hint="eastAsia" w:ascii="华文细黑" w:hAnsi="华文细黑" w:eastAsia="华文细黑" w:cs="华文细黑"/>
                <w:szCs w:val="21"/>
              </w:rPr>
              <w:t>个</w:t>
            </w:r>
          </w:p>
        </w:tc>
        <w:tc>
          <w:tcPr>
            <w:tcW w:w="409" w:type="pct"/>
            <w:vAlign w:val="center"/>
          </w:tcPr>
          <w:p>
            <w:pPr>
              <w:jc w:val="center"/>
              <w:rPr>
                <w:rFonts w:ascii="华文细黑" w:hAnsi="华文细黑" w:eastAsia="华文细黑" w:cs="华文细黑"/>
                <w:szCs w:val="21"/>
                <w:lang w:val="zh-CN"/>
              </w:rPr>
            </w:pPr>
            <w:r>
              <w:rPr>
                <w:rFonts w:hint="eastAsia" w:ascii="华文细黑" w:hAnsi="华文细黑" w:eastAsia="华文细黑" w:cs="华文细黑"/>
                <w:szCs w:val="21"/>
              </w:rPr>
              <w:t>各1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trPr>
        <w:tc>
          <w:tcPr>
            <w:tcW w:w="395"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4</w:t>
            </w:r>
          </w:p>
        </w:tc>
        <w:tc>
          <w:tcPr>
            <w:tcW w:w="1303" w:type="pct"/>
            <w:vAlign w:val="center"/>
          </w:tcPr>
          <w:p>
            <w:pPr>
              <w:jc w:val="center"/>
              <w:rPr>
                <w:rFonts w:ascii="华文细黑" w:hAnsi="华文细黑" w:eastAsia="华文细黑" w:cs="华文细黑"/>
                <w:szCs w:val="21"/>
                <w:lang w:val="zh-CN"/>
              </w:rPr>
            </w:pPr>
            <w:r>
              <w:rPr>
                <w:rFonts w:hint="eastAsia" w:ascii="华文细黑" w:hAnsi="华文细黑" w:eastAsia="华文细黑" w:cs="华文细黑"/>
                <w:szCs w:val="21"/>
              </w:rPr>
              <w:t>凸缘联轴器</w:t>
            </w:r>
          </w:p>
        </w:tc>
        <w:tc>
          <w:tcPr>
            <w:tcW w:w="2436" w:type="pct"/>
            <w:vAlign w:val="center"/>
          </w:tcPr>
          <w:p>
            <w:pPr>
              <w:rPr>
                <w:rFonts w:ascii="华文细黑" w:hAnsi="华文细黑" w:eastAsia="华文细黑" w:cs="华文细黑"/>
                <w:szCs w:val="21"/>
                <w:lang w:val="zh-CN"/>
              </w:rPr>
            </w:pPr>
            <w:r>
              <w:rPr>
                <w:rFonts w:hint="eastAsia" w:ascii="华文细黑" w:hAnsi="华文细黑" w:eastAsia="华文细黑" w:cs="华文细黑"/>
                <w:szCs w:val="21"/>
              </w:rPr>
              <w:t>轴孔14/20，带键槽和顶丝，两端轴长45mm</w:t>
            </w:r>
          </w:p>
        </w:tc>
        <w:tc>
          <w:tcPr>
            <w:tcW w:w="455" w:type="pct"/>
            <w:vAlign w:val="center"/>
          </w:tcPr>
          <w:p>
            <w:pPr>
              <w:jc w:val="center"/>
              <w:rPr>
                <w:rFonts w:ascii="华文细黑" w:hAnsi="华文细黑" w:eastAsia="华文细黑" w:cs="华文细黑"/>
                <w:szCs w:val="21"/>
                <w:lang w:val="zh-CN"/>
              </w:rPr>
            </w:pPr>
            <w:r>
              <w:rPr>
                <w:rFonts w:hint="eastAsia" w:ascii="华文细黑" w:hAnsi="华文细黑" w:eastAsia="华文细黑" w:cs="华文细黑"/>
                <w:szCs w:val="21"/>
              </w:rPr>
              <w:t>套</w:t>
            </w:r>
          </w:p>
        </w:tc>
        <w:tc>
          <w:tcPr>
            <w:tcW w:w="409" w:type="pct"/>
            <w:vAlign w:val="center"/>
          </w:tcPr>
          <w:p>
            <w:pPr>
              <w:jc w:val="center"/>
              <w:rPr>
                <w:rFonts w:ascii="华文细黑" w:hAnsi="华文细黑" w:eastAsia="华文细黑" w:cs="华文细黑"/>
                <w:szCs w:val="21"/>
                <w:lang w:val="zh-CN"/>
              </w:rPr>
            </w:pPr>
            <w:r>
              <w:rPr>
                <w:rFonts w:hint="eastAsia" w:ascii="华文细黑" w:hAnsi="华文细黑" w:eastAsia="华文细黑" w:cs="华文细黑"/>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trPr>
        <w:tc>
          <w:tcPr>
            <w:tcW w:w="395"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5</w:t>
            </w:r>
          </w:p>
        </w:tc>
        <w:tc>
          <w:tcPr>
            <w:tcW w:w="1303" w:type="pct"/>
            <w:vAlign w:val="center"/>
          </w:tcPr>
          <w:p>
            <w:pPr>
              <w:jc w:val="center"/>
              <w:rPr>
                <w:rFonts w:ascii="华文细黑" w:hAnsi="华文细黑" w:eastAsia="华文细黑" w:cs="华文细黑"/>
                <w:szCs w:val="21"/>
                <w:lang w:val="zh-CN"/>
              </w:rPr>
            </w:pPr>
            <w:r>
              <w:rPr>
                <w:rFonts w:hint="eastAsia" w:ascii="华文细黑" w:hAnsi="华文细黑" w:eastAsia="华文细黑" w:cs="华文细黑"/>
                <w:szCs w:val="21"/>
              </w:rPr>
              <w:t>刚性联轴器</w:t>
            </w:r>
          </w:p>
        </w:tc>
        <w:tc>
          <w:tcPr>
            <w:tcW w:w="2436" w:type="pct"/>
            <w:vAlign w:val="center"/>
          </w:tcPr>
          <w:p>
            <w:pPr>
              <w:rPr>
                <w:rFonts w:ascii="华文细黑" w:hAnsi="华文细黑" w:eastAsia="华文细黑" w:cs="华文细黑"/>
                <w:szCs w:val="21"/>
                <w:lang w:val="zh-CN"/>
              </w:rPr>
            </w:pPr>
            <w:r>
              <w:rPr>
                <w:rFonts w:hint="eastAsia" w:ascii="华文细黑" w:hAnsi="华文细黑" w:eastAsia="华文细黑" w:cs="华文细黑"/>
                <w:szCs w:val="21"/>
              </w:rPr>
              <w:t>轴孔14/20</w:t>
            </w:r>
          </w:p>
        </w:tc>
        <w:tc>
          <w:tcPr>
            <w:tcW w:w="455" w:type="pct"/>
            <w:vAlign w:val="center"/>
          </w:tcPr>
          <w:p>
            <w:pPr>
              <w:jc w:val="center"/>
              <w:rPr>
                <w:rFonts w:ascii="华文细黑" w:hAnsi="华文细黑" w:eastAsia="华文细黑" w:cs="华文细黑"/>
                <w:szCs w:val="21"/>
                <w:lang w:val="zh-CN"/>
              </w:rPr>
            </w:pPr>
            <w:r>
              <w:rPr>
                <w:rFonts w:hint="eastAsia" w:ascii="华文细黑" w:hAnsi="华文细黑" w:eastAsia="华文细黑" w:cs="华文细黑"/>
                <w:szCs w:val="21"/>
              </w:rPr>
              <w:t>个</w:t>
            </w:r>
          </w:p>
        </w:tc>
        <w:tc>
          <w:tcPr>
            <w:tcW w:w="409" w:type="pct"/>
            <w:vAlign w:val="center"/>
          </w:tcPr>
          <w:p>
            <w:pPr>
              <w:jc w:val="center"/>
              <w:rPr>
                <w:rFonts w:ascii="华文细黑" w:hAnsi="华文细黑" w:eastAsia="华文细黑" w:cs="华文细黑"/>
                <w:szCs w:val="21"/>
                <w:lang w:val="zh-CN"/>
              </w:rPr>
            </w:pPr>
            <w:r>
              <w:rPr>
                <w:rFonts w:hint="eastAsia" w:ascii="华文细黑" w:hAnsi="华文细黑" w:eastAsia="华文细黑" w:cs="华文细黑"/>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trPr>
        <w:tc>
          <w:tcPr>
            <w:tcW w:w="395"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6</w:t>
            </w:r>
          </w:p>
        </w:tc>
        <w:tc>
          <w:tcPr>
            <w:tcW w:w="1303" w:type="pct"/>
            <w:vAlign w:val="center"/>
          </w:tcPr>
          <w:p>
            <w:pPr>
              <w:jc w:val="center"/>
              <w:rPr>
                <w:rFonts w:ascii="华文细黑" w:hAnsi="华文细黑" w:eastAsia="华文细黑" w:cs="华文细黑"/>
                <w:szCs w:val="21"/>
                <w:lang w:val="zh-CN"/>
              </w:rPr>
            </w:pPr>
            <w:r>
              <w:rPr>
                <w:rFonts w:hint="eastAsia" w:ascii="华文细黑" w:hAnsi="华文细黑" w:eastAsia="华文细黑" w:cs="华文细黑"/>
                <w:szCs w:val="21"/>
              </w:rPr>
              <w:t>弹性套柱销联轴器</w:t>
            </w:r>
          </w:p>
        </w:tc>
        <w:tc>
          <w:tcPr>
            <w:tcW w:w="2436" w:type="pct"/>
            <w:vAlign w:val="center"/>
          </w:tcPr>
          <w:p>
            <w:pPr>
              <w:rPr>
                <w:rFonts w:ascii="华文细黑" w:hAnsi="华文细黑" w:eastAsia="华文细黑" w:cs="华文细黑"/>
                <w:szCs w:val="21"/>
                <w:lang w:val="zh-CN"/>
              </w:rPr>
            </w:pPr>
            <w:r>
              <w:rPr>
                <w:rFonts w:hint="eastAsia" w:ascii="华文细黑" w:hAnsi="华文细黑" w:eastAsia="华文细黑" w:cs="华文细黑"/>
                <w:szCs w:val="21"/>
              </w:rPr>
              <w:t>轴孔14/20，带键槽和顶丝，两端轴长45mm</w:t>
            </w:r>
          </w:p>
        </w:tc>
        <w:tc>
          <w:tcPr>
            <w:tcW w:w="455" w:type="pct"/>
            <w:vAlign w:val="center"/>
          </w:tcPr>
          <w:p>
            <w:pPr>
              <w:jc w:val="center"/>
              <w:rPr>
                <w:rFonts w:ascii="华文细黑" w:hAnsi="华文细黑" w:eastAsia="华文细黑" w:cs="华文细黑"/>
                <w:szCs w:val="21"/>
                <w:lang w:val="zh-CN"/>
              </w:rPr>
            </w:pPr>
            <w:r>
              <w:rPr>
                <w:rFonts w:hint="eastAsia" w:ascii="华文细黑" w:hAnsi="华文细黑" w:eastAsia="华文细黑" w:cs="华文细黑"/>
                <w:szCs w:val="21"/>
              </w:rPr>
              <w:t>套</w:t>
            </w:r>
          </w:p>
        </w:tc>
        <w:tc>
          <w:tcPr>
            <w:tcW w:w="409" w:type="pct"/>
            <w:vAlign w:val="center"/>
          </w:tcPr>
          <w:p>
            <w:pPr>
              <w:jc w:val="center"/>
              <w:rPr>
                <w:rFonts w:ascii="华文细黑" w:hAnsi="华文细黑" w:eastAsia="华文细黑" w:cs="华文细黑"/>
                <w:szCs w:val="21"/>
                <w:lang w:val="zh-CN"/>
              </w:rPr>
            </w:pPr>
            <w:r>
              <w:rPr>
                <w:rFonts w:hint="eastAsia" w:ascii="华文细黑" w:hAnsi="华文细黑" w:eastAsia="华文细黑" w:cs="华文细黑"/>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trPr>
        <w:tc>
          <w:tcPr>
            <w:tcW w:w="395"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7</w:t>
            </w:r>
          </w:p>
        </w:tc>
        <w:tc>
          <w:tcPr>
            <w:tcW w:w="1303" w:type="pct"/>
            <w:vAlign w:val="center"/>
          </w:tcPr>
          <w:p>
            <w:pPr>
              <w:jc w:val="center"/>
              <w:rPr>
                <w:rFonts w:ascii="华文细黑" w:hAnsi="华文细黑" w:eastAsia="华文细黑" w:cs="华文细黑"/>
                <w:szCs w:val="21"/>
                <w:lang w:val="zh-CN"/>
              </w:rPr>
            </w:pPr>
            <w:r>
              <w:rPr>
                <w:rFonts w:hint="eastAsia" w:ascii="华文细黑" w:hAnsi="华文细黑" w:eastAsia="华文细黑" w:cs="华文细黑"/>
                <w:szCs w:val="21"/>
              </w:rPr>
              <w:t>弹性柱销联轴器</w:t>
            </w:r>
          </w:p>
        </w:tc>
        <w:tc>
          <w:tcPr>
            <w:tcW w:w="2436" w:type="pct"/>
            <w:vAlign w:val="center"/>
          </w:tcPr>
          <w:p>
            <w:pPr>
              <w:rPr>
                <w:rFonts w:ascii="华文细黑" w:hAnsi="华文细黑" w:eastAsia="华文细黑" w:cs="华文细黑"/>
                <w:szCs w:val="21"/>
                <w:lang w:val="zh-CN"/>
              </w:rPr>
            </w:pPr>
            <w:r>
              <w:rPr>
                <w:rFonts w:hint="eastAsia" w:ascii="华文细黑" w:hAnsi="华文细黑" w:eastAsia="华文细黑" w:cs="华文细黑"/>
                <w:szCs w:val="21"/>
              </w:rPr>
              <w:t>轴孔14/20，带键槽和顶丝，两端轴长45mm</w:t>
            </w:r>
          </w:p>
        </w:tc>
        <w:tc>
          <w:tcPr>
            <w:tcW w:w="455" w:type="pct"/>
            <w:vAlign w:val="center"/>
          </w:tcPr>
          <w:p>
            <w:pPr>
              <w:jc w:val="center"/>
              <w:rPr>
                <w:rFonts w:ascii="华文细黑" w:hAnsi="华文细黑" w:eastAsia="华文细黑" w:cs="华文细黑"/>
                <w:szCs w:val="21"/>
                <w:lang w:val="zh-CN"/>
              </w:rPr>
            </w:pPr>
            <w:r>
              <w:rPr>
                <w:rFonts w:hint="eastAsia" w:ascii="华文细黑" w:hAnsi="华文细黑" w:eastAsia="华文细黑" w:cs="华文细黑"/>
                <w:szCs w:val="21"/>
              </w:rPr>
              <w:t>套</w:t>
            </w:r>
          </w:p>
        </w:tc>
        <w:tc>
          <w:tcPr>
            <w:tcW w:w="409" w:type="pct"/>
            <w:vAlign w:val="center"/>
          </w:tcPr>
          <w:p>
            <w:pPr>
              <w:jc w:val="center"/>
              <w:rPr>
                <w:rFonts w:ascii="华文细黑" w:hAnsi="华文细黑" w:eastAsia="华文细黑" w:cs="华文细黑"/>
                <w:szCs w:val="21"/>
                <w:lang w:val="zh-CN"/>
              </w:rPr>
            </w:pPr>
            <w:r>
              <w:rPr>
                <w:rFonts w:hint="eastAsia" w:ascii="华文细黑" w:hAnsi="华文细黑" w:eastAsia="华文细黑" w:cs="华文细黑"/>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trPr>
        <w:tc>
          <w:tcPr>
            <w:tcW w:w="395"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8</w:t>
            </w:r>
          </w:p>
        </w:tc>
        <w:tc>
          <w:tcPr>
            <w:tcW w:w="1303" w:type="pct"/>
            <w:vAlign w:val="center"/>
          </w:tcPr>
          <w:p>
            <w:pPr>
              <w:jc w:val="center"/>
              <w:rPr>
                <w:rFonts w:ascii="华文细黑" w:hAnsi="华文细黑" w:eastAsia="华文细黑" w:cs="华文细黑"/>
                <w:szCs w:val="21"/>
                <w:lang w:val="zh-CN"/>
              </w:rPr>
            </w:pPr>
            <w:r>
              <w:rPr>
                <w:rFonts w:hint="eastAsia" w:ascii="华文细黑" w:hAnsi="华文细黑" w:eastAsia="华文细黑" w:cs="华文细黑"/>
                <w:szCs w:val="21"/>
              </w:rPr>
              <w:t>JM型膜片联轴器</w:t>
            </w:r>
          </w:p>
        </w:tc>
        <w:tc>
          <w:tcPr>
            <w:tcW w:w="2436" w:type="pct"/>
            <w:vAlign w:val="center"/>
          </w:tcPr>
          <w:p>
            <w:pPr>
              <w:rPr>
                <w:rFonts w:ascii="华文细黑" w:hAnsi="华文细黑" w:eastAsia="华文细黑" w:cs="华文细黑"/>
                <w:szCs w:val="21"/>
                <w:lang w:val="zh-CN"/>
              </w:rPr>
            </w:pPr>
            <w:r>
              <w:rPr>
                <w:rFonts w:hint="eastAsia" w:ascii="华文细黑" w:hAnsi="华文细黑" w:eastAsia="华文细黑" w:cs="华文细黑"/>
                <w:szCs w:val="21"/>
              </w:rPr>
              <w:t>轴孔14/20，带键槽和顶丝，两端轴长45mm</w:t>
            </w:r>
          </w:p>
        </w:tc>
        <w:tc>
          <w:tcPr>
            <w:tcW w:w="455" w:type="pct"/>
            <w:vAlign w:val="center"/>
          </w:tcPr>
          <w:p>
            <w:pPr>
              <w:jc w:val="center"/>
              <w:rPr>
                <w:rFonts w:ascii="华文细黑" w:hAnsi="华文细黑" w:eastAsia="华文细黑" w:cs="华文细黑"/>
                <w:szCs w:val="21"/>
                <w:lang w:val="zh-CN"/>
              </w:rPr>
            </w:pPr>
            <w:r>
              <w:rPr>
                <w:rFonts w:hint="eastAsia" w:ascii="华文细黑" w:hAnsi="华文细黑" w:eastAsia="华文细黑" w:cs="华文细黑"/>
                <w:szCs w:val="21"/>
              </w:rPr>
              <w:t>套</w:t>
            </w:r>
          </w:p>
        </w:tc>
        <w:tc>
          <w:tcPr>
            <w:tcW w:w="409" w:type="pct"/>
            <w:vAlign w:val="center"/>
          </w:tcPr>
          <w:p>
            <w:pPr>
              <w:jc w:val="center"/>
              <w:rPr>
                <w:rFonts w:ascii="华文细黑" w:hAnsi="华文细黑" w:eastAsia="华文细黑" w:cs="华文细黑"/>
                <w:szCs w:val="21"/>
                <w:lang w:val="zh-CN"/>
              </w:rPr>
            </w:pPr>
            <w:r>
              <w:rPr>
                <w:rFonts w:hint="eastAsia" w:ascii="华文细黑" w:hAnsi="华文细黑" w:eastAsia="华文细黑" w:cs="华文细黑"/>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trPr>
        <w:tc>
          <w:tcPr>
            <w:tcW w:w="395"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9</w:t>
            </w:r>
          </w:p>
        </w:tc>
        <w:tc>
          <w:tcPr>
            <w:tcW w:w="1303" w:type="pct"/>
            <w:vAlign w:val="center"/>
          </w:tcPr>
          <w:p>
            <w:pPr>
              <w:jc w:val="center"/>
              <w:rPr>
                <w:rFonts w:ascii="华文细黑" w:hAnsi="华文细黑" w:eastAsia="华文细黑" w:cs="华文细黑"/>
                <w:szCs w:val="21"/>
                <w:lang w:val="zh-CN"/>
              </w:rPr>
            </w:pPr>
            <w:r>
              <w:rPr>
                <w:rFonts w:hint="eastAsia" w:ascii="华文细黑" w:hAnsi="华文细黑" w:eastAsia="华文细黑" w:cs="华文细黑"/>
                <w:szCs w:val="21"/>
              </w:rPr>
              <w:t>电机安装座</w:t>
            </w:r>
          </w:p>
        </w:tc>
        <w:tc>
          <w:tcPr>
            <w:tcW w:w="2436" w:type="pct"/>
            <w:vAlign w:val="center"/>
          </w:tcPr>
          <w:p>
            <w:pPr>
              <w:rPr>
                <w:rFonts w:ascii="华文细黑" w:hAnsi="华文细黑" w:eastAsia="华文细黑" w:cs="华文细黑"/>
                <w:szCs w:val="21"/>
                <w:lang w:val="zh-CN"/>
              </w:rPr>
            </w:pPr>
            <w:r>
              <w:rPr>
                <w:rFonts w:hint="eastAsia" w:ascii="华文细黑" w:hAnsi="华文细黑" w:eastAsia="华文细黑" w:cs="华文细黑"/>
                <w:szCs w:val="21"/>
              </w:rPr>
              <w:t>220×120×20mm</w:t>
            </w:r>
          </w:p>
        </w:tc>
        <w:tc>
          <w:tcPr>
            <w:tcW w:w="455" w:type="pct"/>
            <w:vAlign w:val="center"/>
          </w:tcPr>
          <w:p>
            <w:pPr>
              <w:jc w:val="center"/>
              <w:rPr>
                <w:rFonts w:ascii="华文细黑" w:hAnsi="华文细黑" w:eastAsia="华文细黑" w:cs="华文细黑"/>
                <w:szCs w:val="21"/>
                <w:lang w:val="zh-CN"/>
              </w:rPr>
            </w:pPr>
            <w:r>
              <w:rPr>
                <w:rFonts w:hint="eastAsia" w:ascii="华文细黑" w:hAnsi="华文细黑" w:eastAsia="华文细黑" w:cs="华文细黑"/>
                <w:szCs w:val="21"/>
              </w:rPr>
              <w:t>个</w:t>
            </w:r>
          </w:p>
        </w:tc>
        <w:tc>
          <w:tcPr>
            <w:tcW w:w="409" w:type="pct"/>
            <w:vAlign w:val="center"/>
          </w:tcPr>
          <w:p>
            <w:pPr>
              <w:jc w:val="center"/>
              <w:rPr>
                <w:rFonts w:ascii="华文细黑" w:hAnsi="华文细黑" w:eastAsia="华文细黑" w:cs="华文细黑"/>
                <w:szCs w:val="21"/>
                <w:lang w:val="zh-CN"/>
              </w:rPr>
            </w:pPr>
            <w:r>
              <w:rPr>
                <w:rFonts w:hint="eastAsia" w:ascii="华文细黑" w:hAnsi="华文细黑" w:eastAsia="华文细黑" w:cs="华文细黑"/>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trPr>
        <w:tc>
          <w:tcPr>
            <w:tcW w:w="395"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10</w:t>
            </w:r>
          </w:p>
        </w:tc>
        <w:tc>
          <w:tcPr>
            <w:tcW w:w="1303" w:type="pct"/>
            <w:vAlign w:val="center"/>
          </w:tcPr>
          <w:p>
            <w:pPr>
              <w:jc w:val="center"/>
              <w:rPr>
                <w:rFonts w:ascii="华文细黑" w:hAnsi="华文细黑" w:eastAsia="华文细黑" w:cs="华文细黑"/>
                <w:szCs w:val="21"/>
                <w:lang w:val="zh-CN"/>
              </w:rPr>
            </w:pPr>
            <w:r>
              <w:rPr>
                <w:rFonts w:hint="eastAsia" w:ascii="华文细黑" w:hAnsi="华文细黑" w:eastAsia="华文细黑" w:cs="华文细黑"/>
                <w:szCs w:val="21"/>
              </w:rPr>
              <w:t>电机安装座垫高块</w:t>
            </w:r>
          </w:p>
        </w:tc>
        <w:tc>
          <w:tcPr>
            <w:tcW w:w="2436" w:type="pct"/>
            <w:vAlign w:val="center"/>
          </w:tcPr>
          <w:p>
            <w:pPr>
              <w:rPr>
                <w:rFonts w:ascii="华文细黑" w:hAnsi="华文细黑" w:eastAsia="华文细黑" w:cs="华文细黑"/>
                <w:szCs w:val="21"/>
                <w:lang w:val="zh-CN"/>
              </w:rPr>
            </w:pPr>
            <w:r>
              <w:rPr>
                <w:rFonts w:hint="eastAsia" w:ascii="华文细黑" w:hAnsi="华文细黑" w:eastAsia="华文细黑" w:cs="华文细黑"/>
                <w:szCs w:val="21"/>
              </w:rPr>
              <w:t>120×44×34mm</w:t>
            </w:r>
          </w:p>
        </w:tc>
        <w:tc>
          <w:tcPr>
            <w:tcW w:w="455" w:type="pct"/>
            <w:vAlign w:val="center"/>
          </w:tcPr>
          <w:p>
            <w:pPr>
              <w:jc w:val="center"/>
              <w:rPr>
                <w:rFonts w:ascii="华文细黑" w:hAnsi="华文细黑" w:eastAsia="华文细黑" w:cs="华文细黑"/>
                <w:szCs w:val="21"/>
                <w:lang w:val="zh-CN"/>
              </w:rPr>
            </w:pPr>
            <w:r>
              <w:rPr>
                <w:rFonts w:hint="eastAsia" w:ascii="华文细黑" w:hAnsi="华文细黑" w:eastAsia="华文细黑" w:cs="华文细黑"/>
                <w:szCs w:val="21"/>
              </w:rPr>
              <w:t>个</w:t>
            </w:r>
          </w:p>
        </w:tc>
        <w:tc>
          <w:tcPr>
            <w:tcW w:w="409" w:type="pct"/>
            <w:vAlign w:val="center"/>
          </w:tcPr>
          <w:p>
            <w:pPr>
              <w:jc w:val="center"/>
              <w:rPr>
                <w:rFonts w:ascii="华文细黑" w:hAnsi="华文细黑" w:eastAsia="华文细黑" w:cs="华文细黑"/>
                <w:szCs w:val="21"/>
                <w:lang w:val="zh-CN"/>
              </w:rPr>
            </w:pPr>
            <w:r>
              <w:rPr>
                <w:rFonts w:hint="eastAsia" w:ascii="华文细黑" w:hAnsi="华文细黑" w:eastAsia="华文细黑" w:cs="华文细黑"/>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trPr>
        <w:tc>
          <w:tcPr>
            <w:tcW w:w="395"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11</w:t>
            </w:r>
          </w:p>
        </w:tc>
        <w:tc>
          <w:tcPr>
            <w:tcW w:w="1303" w:type="pct"/>
            <w:vAlign w:val="center"/>
          </w:tcPr>
          <w:p>
            <w:pPr>
              <w:jc w:val="center"/>
              <w:rPr>
                <w:rFonts w:ascii="华文细黑" w:hAnsi="华文细黑" w:eastAsia="华文细黑" w:cs="华文细黑"/>
                <w:szCs w:val="21"/>
                <w:lang w:val="zh-CN"/>
              </w:rPr>
            </w:pPr>
            <w:r>
              <w:rPr>
                <w:rFonts w:hint="eastAsia" w:ascii="华文细黑" w:hAnsi="华文细黑" w:eastAsia="华文细黑" w:cs="华文细黑"/>
                <w:szCs w:val="21"/>
              </w:rPr>
              <w:t>轴承座垫高块</w:t>
            </w:r>
          </w:p>
        </w:tc>
        <w:tc>
          <w:tcPr>
            <w:tcW w:w="2436" w:type="pct"/>
            <w:vAlign w:val="center"/>
          </w:tcPr>
          <w:p>
            <w:pPr>
              <w:rPr>
                <w:rFonts w:ascii="华文细黑" w:hAnsi="华文细黑" w:eastAsia="华文细黑" w:cs="华文细黑"/>
                <w:szCs w:val="21"/>
                <w:lang w:val="zh-CN"/>
              </w:rPr>
            </w:pPr>
            <w:r>
              <w:rPr>
                <w:rFonts w:hint="eastAsia" w:ascii="华文细黑" w:hAnsi="华文细黑" w:eastAsia="华文细黑" w:cs="华文细黑"/>
                <w:szCs w:val="21"/>
              </w:rPr>
              <w:t>170×40×57mm</w:t>
            </w:r>
          </w:p>
        </w:tc>
        <w:tc>
          <w:tcPr>
            <w:tcW w:w="455" w:type="pct"/>
            <w:vAlign w:val="center"/>
          </w:tcPr>
          <w:p>
            <w:pPr>
              <w:jc w:val="center"/>
              <w:rPr>
                <w:rFonts w:ascii="华文细黑" w:hAnsi="华文细黑" w:eastAsia="华文细黑" w:cs="华文细黑"/>
                <w:szCs w:val="21"/>
                <w:lang w:val="zh-CN"/>
              </w:rPr>
            </w:pPr>
            <w:r>
              <w:rPr>
                <w:rFonts w:hint="eastAsia" w:ascii="华文细黑" w:hAnsi="华文细黑" w:eastAsia="华文细黑" w:cs="华文细黑"/>
                <w:szCs w:val="21"/>
              </w:rPr>
              <w:t>个</w:t>
            </w:r>
          </w:p>
        </w:tc>
        <w:tc>
          <w:tcPr>
            <w:tcW w:w="409" w:type="pct"/>
            <w:vAlign w:val="center"/>
          </w:tcPr>
          <w:p>
            <w:pPr>
              <w:jc w:val="center"/>
              <w:rPr>
                <w:rFonts w:ascii="华文细黑" w:hAnsi="华文细黑" w:eastAsia="华文细黑" w:cs="华文细黑"/>
                <w:szCs w:val="21"/>
                <w:lang w:val="zh-CN"/>
              </w:rPr>
            </w:pPr>
            <w:r>
              <w:rPr>
                <w:rFonts w:hint="eastAsia" w:ascii="华文细黑" w:hAnsi="华文细黑" w:eastAsia="华文细黑" w:cs="华文细黑"/>
                <w:szCs w:val="21"/>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trPr>
        <w:tc>
          <w:tcPr>
            <w:tcW w:w="395"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12</w:t>
            </w:r>
          </w:p>
        </w:tc>
        <w:tc>
          <w:tcPr>
            <w:tcW w:w="1303" w:type="pct"/>
            <w:vAlign w:val="center"/>
          </w:tcPr>
          <w:p>
            <w:pPr>
              <w:jc w:val="center"/>
              <w:rPr>
                <w:rFonts w:ascii="华文细黑" w:hAnsi="华文细黑" w:eastAsia="华文细黑" w:cs="华文细黑"/>
                <w:szCs w:val="21"/>
                <w:lang w:val="zh-CN"/>
              </w:rPr>
            </w:pPr>
            <w:r>
              <w:rPr>
                <w:rFonts w:hint="eastAsia" w:ascii="华文细黑" w:hAnsi="华文细黑" w:eastAsia="华文细黑" w:cs="华文细黑"/>
                <w:szCs w:val="21"/>
              </w:rPr>
              <w:t>带立式座外球面轴承</w:t>
            </w:r>
          </w:p>
        </w:tc>
        <w:tc>
          <w:tcPr>
            <w:tcW w:w="2436" w:type="pct"/>
            <w:vAlign w:val="center"/>
          </w:tcPr>
          <w:p>
            <w:pPr>
              <w:rPr>
                <w:rFonts w:ascii="华文细黑" w:hAnsi="华文细黑" w:eastAsia="华文细黑" w:cs="华文细黑"/>
                <w:szCs w:val="21"/>
                <w:lang w:val="zh-CN"/>
              </w:rPr>
            </w:pPr>
            <w:r>
              <w:rPr>
                <w:rFonts w:hint="eastAsia" w:ascii="华文细黑" w:hAnsi="华文细黑" w:eastAsia="华文细黑" w:cs="华文细黑"/>
                <w:szCs w:val="21"/>
                <w:lang w:val="zh-CN"/>
              </w:rPr>
              <w:t>UCP204</w:t>
            </w:r>
          </w:p>
        </w:tc>
        <w:tc>
          <w:tcPr>
            <w:tcW w:w="455" w:type="pct"/>
            <w:vAlign w:val="center"/>
          </w:tcPr>
          <w:p>
            <w:pPr>
              <w:jc w:val="center"/>
              <w:rPr>
                <w:rFonts w:ascii="华文细黑" w:hAnsi="华文细黑" w:eastAsia="华文细黑" w:cs="华文细黑"/>
                <w:szCs w:val="21"/>
                <w:lang w:val="zh-CN"/>
              </w:rPr>
            </w:pPr>
            <w:r>
              <w:rPr>
                <w:rFonts w:hint="eastAsia" w:ascii="华文细黑" w:hAnsi="华文细黑" w:eastAsia="华文细黑" w:cs="华文细黑"/>
                <w:szCs w:val="21"/>
              </w:rPr>
              <w:t>个</w:t>
            </w:r>
          </w:p>
        </w:tc>
        <w:tc>
          <w:tcPr>
            <w:tcW w:w="409" w:type="pct"/>
            <w:vAlign w:val="center"/>
          </w:tcPr>
          <w:p>
            <w:pPr>
              <w:jc w:val="center"/>
              <w:rPr>
                <w:rFonts w:ascii="华文细黑" w:hAnsi="华文细黑" w:eastAsia="华文细黑" w:cs="华文细黑"/>
                <w:szCs w:val="21"/>
                <w:lang w:val="zh-CN"/>
              </w:rPr>
            </w:pPr>
            <w:r>
              <w:rPr>
                <w:rFonts w:hint="eastAsia" w:ascii="华文细黑" w:hAnsi="华文细黑" w:eastAsia="华文细黑" w:cs="华文细黑"/>
                <w:szCs w:val="21"/>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trPr>
        <w:tc>
          <w:tcPr>
            <w:tcW w:w="395"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13</w:t>
            </w:r>
          </w:p>
        </w:tc>
        <w:tc>
          <w:tcPr>
            <w:tcW w:w="1303" w:type="pct"/>
            <w:vAlign w:val="center"/>
          </w:tcPr>
          <w:p>
            <w:pPr>
              <w:jc w:val="center"/>
              <w:rPr>
                <w:rFonts w:ascii="华文细黑" w:hAnsi="华文细黑" w:eastAsia="华文细黑" w:cs="华文细黑"/>
                <w:szCs w:val="21"/>
                <w:lang w:val="zh-CN"/>
              </w:rPr>
            </w:pPr>
            <w:r>
              <w:rPr>
                <w:rFonts w:hint="eastAsia" w:ascii="华文细黑" w:hAnsi="华文细黑" w:eastAsia="华文细黑" w:cs="华文细黑"/>
                <w:szCs w:val="21"/>
              </w:rPr>
              <w:t>槽轨一</w:t>
            </w:r>
          </w:p>
        </w:tc>
        <w:tc>
          <w:tcPr>
            <w:tcW w:w="2436" w:type="pct"/>
            <w:vAlign w:val="center"/>
          </w:tcPr>
          <w:p>
            <w:pPr>
              <w:rPr>
                <w:rFonts w:ascii="华文细黑" w:hAnsi="华文细黑" w:eastAsia="华文细黑" w:cs="华文细黑"/>
                <w:szCs w:val="21"/>
                <w:lang w:val="zh-CN"/>
              </w:rPr>
            </w:pPr>
            <w:r>
              <w:rPr>
                <w:rFonts w:hint="eastAsia" w:ascii="华文细黑" w:hAnsi="华文细黑" w:eastAsia="华文细黑" w:cs="华文细黑"/>
                <w:szCs w:val="21"/>
              </w:rPr>
              <w:t>45×45×300mm</w:t>
            </w:r>
          </w:p>
        </w:tc>
        <w:tc>
          <w:tcPr>
            <w:tcW w:w="455" w:type="pct"/>
            <w:vAlign w:val="center"/>
          </w:tcPr>
          <w:p>
            <w:pPr>
              <w:jc w:val="center"/>
              <w:rPr>
                <w:rFonts w:ascii="华文细黑" w:hAnsi="华文细黑" w:eastAsia="华文细黑" w:cs="华文细黑"/>
                <w:szCs w:val="21"/>
                <w:lang w:val="zh-CN"/>
              </w:rPr>
            </w:pPr>
            <w:r>
              <w:rPr>
                <w:rFonts w:hint="eastAsia" w:ascii="华文细黑" w:hAnsi="华文细黑" w:eastAsia="华文细黑" w:cs="华文细黑"/>
                <w:szCs w:val="21"/>
              </w:rPr>
              <w:t>根</w:t>
            </w:r>
          </w:p>
        </w:tc>
        <w:tc>
          <w:tcPr>
            <w:tcW w:w="409" w:type="pct"/>
            <w:vAlign w:val="center"/>
          </w:tcPr>
          <w:p>
            <w:pPr>
              <w:jc w:val="center"/>
              <w:rPr>
                <w:rFonts w:ascii="华文细黑" w:hAnsi="华文细黑" w:eastAsia="华文细黑" w:cs="华文细黑"/>
                <w:szCs w:val="21"/>
                <w:lang w:val="zh-CN"/>
              </w:rPr>
            </w:pPr>
            <w:r>
              <w:rPr>
                <w:rFonts w:hint="eastAsia" w:ascii="华文细黑" w:hAnsi="华文细黑" w:eastAsia="华文细黑" w:cs="华文细黑"/>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trPr>
        <w:tc>
          <w:tcPr>
            <w:tcW w:w="395"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14</w:t>
            </w:r>
          </w:p>
        </w:tc>
        <w:tc>
          <w:tcPr>
            <w:tcW w:w="1303" w:type="pct"/>
            <w:vAlign w:val="center"/>
          </w:tcPr>
          <w:p>
            <w:pPr>
              <w:jc w:val="center"/>
              <w:rPr>
                <w:rFonts w:ascii="华文细黑" w:hAnsi="华文细黑" w:eastAsia="华文细黑" w:cs="华文细黑"/>
                <w:szCs w:val="21"/>
                <w:lang w:val="zh-CN"/>
              </w:rPr>
            </w:pPr>
            <w:r>
              <w:rPr>
                <w:rFonts w:hint="eastAsia" w:ascii="华文细黑" w:hAnsi="华文细黑" w:eastAsia="华文细黑" w:cs="华文细黑"/>
                <w:szCs w:val="21"/>
              </w:rPr>
              <w:t>槽轨二</w:t>
            </w:r>
          </w:p>
        </w:tc>
        <w:tc>
          <w:tcPr>
            <w:tcW w:w="2436" w:type="pct"/>
            <w:vAlign w:val="center"/>
          </w:tcPr>
          <w:p>
            <w:pPr>
              <w:rPr>
                <w:rFonts w:ascii="华文细黑" w:hAnsi="华文细黑" w:eastAsia="华文细黑" w:cs="华文细黑"/>
                <w:szCs w:val="21"/>
                <w:lang w:val="zh-CN"/>
              </w:rPr>
            </w:pPr>
            <w:r>
              <w:rPr>
                <w:rFonts w:hint="eastAsia" w:ascii="华文细黑" w:hAnsi="华文细黑" w:eastAsia="华文细黑" w:cs="华文细黑"/>
                <w:szCs w:val="21"/>
              </w:rPr>
              <w:t>45×45×365mm</w:t>
            </w:r>
          </w:p>
        </w:tc>
        <w:tc>
          <w:tcPr>
            <w:tcW w:w="455" w:type="pct"/>
            <w:vAlign w:val="center"/>
          </w:tcPr>
          <w:p>
            <w:pPr>
              <w:jc w:val="center"/>
              <w:rPr>
                <w:rFonts w:ascii="华文细黑" w:hAnsi="华文细黑" w:eastAsia="华文细黑" w:cs="华文细黑"/>
                <w:szCs w:val="21"/>
                <w:lang w:val="zh-CN"/>
              </w:rPr>
            </w:pPr>
            <w:r>
              <w:rPr>
                <w:rFonts w:hint="eastAsia" w:ascii="华文细黑" w:hAnsi="华文细黑" w:eastAsia="华文细黑" w:cs="华文细黑"/>
                <w:szCs w:val="21"/>
              </w:rPr>
              <w:t>根</w:t>
            </w:r>
          </w:p>
        </w:tc>
        <w:tc>
          <w:tcPr>
            <w:tcW w:w="409" w:type="pct"/>
            <w:vAlign w:val="center"/>
          </w:tcPr>
          <w:p>
            <w:pPr>
              <w:jc w:val="center"/>
              <w:rPr>
                <w:rFonts w:ascii="华文细黑" w:hAnsi="华文细黑" w:eastAsia="华文细黑" w:cs="华文细黑"/>
                <w:szCs w:val="21"/>
                <w:lang w:val="zh-CN"/>
              </w:rPr>
            </w:pPr>
            <w:r>
              <w:rPr>
                <w:rFonts w:hint="eastAsia" w:ascii="华文细黑" w:hAnsi="华文细黑" w:eastAsia="华文细黑" w:cs="华文细黑"/>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trPr>
        <w:tc>
          <w:tcPr>
            <w:tcW w:w="395"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15</w:t>
            </w:r>
          </w:p>
        </w:tc>
        <w:tc>
          <w:tcPr>
            <w:tcW w:w="1303" w:type="pct"/>
            <w:vAlign w:val="center"/>
          </w:tcPr>
          <w:p>
            <w:pPr>
              <w:jc w:val="center"/>
              <w:rPr>
                <w:rFonts w:ascii="华文细黑" w:hAnsi="华文细黑" w:eastAsia="华文细黑" w:cs="华文细黑"/>
                <w:szCs w:val="21"/>
                <w:lang w:val="zh-CN"/>
              </w:rPr>
            </w:pPr>
            <w:r>
              <w:rPr>
                <w:rFonts w:hint="eastAsia" w:ascii="华文细黑" w:hAnsi="华文细黑" w:eastAsia="华文细黑" w:cs="华文细黑"/>
                <w:szCs w:val="21"/>
              </w:rPr>
              <w:t>槽轨三</w:t>
            </w:r>
          </w:p>
        </w:tc>
        <w:tc>
          <w:tcPr>
            <w:tcW w:w="2436" w:type="pct"/>
            <w:vAlign w:val="center"/>
          </w:tcPr>
          <w:p>
            <w:pPr>
              <w:rPr>
                <w:rFonts w:ascii="华文细黑" w:hAnsi="华文细黑" w:eastAsia="华文细黑" w:cs="华文细黑"/>
                <w:szCs w:val="21"/>
                <w:lang w:val="zh-CN"/>
              </w:rPr>
            </w:pPr>
            <w:r>
              <w:rPr>
                <w:rFonts w:hint="eastAsia" w:ascii="华文细黑" w:hAnsi="华文细黑" w:eastAsia="华文细黑" w:cs="华文细黑"/>
                <w:szCs w:val="21"/>
              </w:rPr>
              <w:t>45×45×637mm</w:t>
            </w:r>
          </w:p>
        </w:tc>
        <w:tc>
          <w:tcPr>
            <w:tcW w:w="455" w:type="pct"/>
            <w:vAlign w:val="center"/>
          </w:tcPr>
          <w:p>
            <w:pPr>
              <w:jc w:val="center"/>
              <w:rPr>
                <w:rFonts w:ascii="华文细黑" w:hAnsi="华文细黑" w:eastAsia="华文细黑" w:cs="华文细黑"/>
                <w:szCs w:val="21"/>
                <w:lang w:val="zh-CN"/>
              </w:rPr>
            </w:pPr>
            <w:r>
              <w:rPr>
                <w:rFonts w:hint="eastAsia" w:ascii="华文细黑" w:hAnsi="华文细黑" w:eastAsia="华文细黑" w:cs="华文细黑"/>
                <w:szCs w:val="21"/>
              </w:rPr>
              <w:t>根</w:t>
            </w:r>
          </w:p>
        </w:tc>
        <w:tc>
          <w:tcPr>
            <w:tcW w:w="409" w:type="pct"/>
            <w:vAlign w:val="center"/>
          </w:tcPr>
          <w:p>
            <w:pPr>
              <w:jc w:val="center"/>
              <w:rPr>
                <w:rFonts w:ascii="华文细黑" w:hAnsi="华文细黑" w:eastAsia="华文细黑" w:cs="华文细黑"/>
                <w:szCs w:val="21"/>
                <w:lang w:val="zh-CN"/>
              </w:rPr>
            </w:pPr>
            <w:r>
              <w:rPr>
                <w:rFonts w:hint="eastAsia" w:ascii="华文细黑" w:hAnsi="华文细黑" w:eastAsia="华文细黑" w:cs="华文细黑"/>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trPr>
        <w:tc>
          <w:tcPr>
            <w:tcW w:w="395"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16</w:t>
            </w:r>
          </w:p>
        </w:tc>
        <w:tc>
          <w:tcPr>
            <w:tcW w:w="1303" w:type="pct"/>
            <w:vAlign w:val="center"/>
          </w:tcPr>
          <w:p>
            <w:pPr>
              <w:jc w:val="center"/>
              <w:rPr>
                <w:rFonts w:ascii="华文细黑" w:hAnsi="华文细黑" w:eastAsia="华文细黑" w:cs="华文细黑"/>
                <w:szCs w:val="21"/>
                <w:lang w:val="zh-CN"/>
              </w:rPr>
            </w:pPr>
            <w:r>
              <w:rPr>
                <w:rFonts w:hint="eastAsia" w:ascii="华文细黑" w:hAnsi="华文细黑" w:eastAsia="华文细黑" w:cs="华文细黑"/>
                <w:szCs w:val="21"/>
              </w:rPr>
              <w:t>槽轨四</w:t>
            </w:r>
          </w:p>
        </w:tc>
        <w:tc>
          <w:tcPr>
            <w:tcW w:w="2436" w:type="pct"/>
            <w:vAlign w:val="center"/>
          </w:tcPr>
          <w:p>
            <w:pPr>
              <w:rPr>
                <w:rFonts w:ascii="华文细黑" w:hAnsi="华文细黑" w:eastAsia="华文细黑" w:cs="华文细黑"/>
                <w:szCs w:val="21"/>
                <w:lang w:val="zh-CN"/>
              </w:rPr>
            </w:pPr>
            <w:r>
              <w:rPr>
                <w:rFonts w:hint="eastAsia" w:ascii="华文细黑" w:hAnsi="华文细黑" w:eastAsia="华文细黑" w:cs="华文细黑"/>
                <w:szCs w:val="21"/>
              </w:rPr>
              <w:t>45×45×952mm</w:t>
            </w:r>
          </w:p>
        </w:tc>
        <w:tc>
          <w:tcPr>
            <w:tcW w:w="455" w:type="pct"/>
            <w:vAlign w:val="center"/>
          </w:tcPr>
          <w:p>
            <w:pPr>
              <w:jc w:val="center"/>
              <w:rPr>
                <w:rFonts w:ascii="华文细黑" w:hAnsi="华文细黑" w:eastAsia="华文细黑" w:cs="华文细黑"/>
                <w:szCs w:val="21"/>
                <w:lang w:val="zh-CN"/>
              </w:rPr>
            </w:pPr>
            <w:r>
              <w:rPr>
                <w:rFonts w:hint="eastAsia" w:ascii="华文细黑" w:hAnsi="华文细黑" w:eastAsia="华文细黑" w:cs="华文细黑"/>
                <w:szCs w:val="21"/>
              </w:rPr>
              <w:t>根</w:t>
            </w:r>
          </w:p>
        </w:tc>
        <w:tc>
          <w:tcPr>
            <w:tcW w:w="409" w:type="pct"/>
            <w:vAlign w:val="center"/>
          </w:tcPr>
          <w:p>
            <w:pPr>
              <w:jc w:val="center"/>
              <w:rPr>
                <w:rFonts w:ascii="华文细黑" w:hAnsi="华文细黑" w:eastAsia="华文细黑" w:cs="华文细黑"/>
                <w:szCs w:val="21"/>
                <w:lang w:val="zh-CN"/>
              </w:rPr>
            </w:pPr>
            <w:r>
              <w:rPr>
                <w:rFonts w:hint="eastAsia" w:ascii="华文细黑" w:hAnsi="华文细黑" w:eastAsia="华文细黑" w:cs="华文细黑"/>
                <w:szCs w:val="21"/>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trPr>
        <w:tc>
          <w:tcPr>
            <w:tcW w:w="395"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17</w:t>
            </w:r>
          </w:p>
        </w:tc>
        <w:tc>
          <w:tcPr>
            <w:tcW w:w="1303" w:type="pct"/>
            <w:vAlign w:val="center"/>
          </w:tcPr>
          <w:p>
            <w:pPr>
              <w:widowControl/>
              <w:jc w:val="center"/>
              <w:textAlignment w:val="center"/>
              <w:rPr>
                <w:rFonts w:ascii="华文细黑" w:hAnsi="华文细黑" w:eastAsia="华文细黑" w:cs="华文细黑"/>
                <w:szCs w:val="21"/>
                <w:lang w:val="zh-CN"/>
              </w:rPr>
            </w:pPr>
            <w:r>
              <w:rPr>
                <w:rFonts w:hint="eastAsia" w:ascii="华文细黑" w:hAnsi="华文细黑" w:eastAsia="华文细黑" w:cs="华文细黑"/>
                <w:kern w:val="0"/>
                <w:szCs w:val="21"/>
                <w:lang w:bidi="ar"/>
              </w:rPr>
              <w:t>快拆式抱轴器</w:t>
            </w:r>
          </w:p>
        </w:tc>
        <w:tc>
          <w:tcPr>
            <w:tcW w:w="2436" w:type="pct"/>
            <w:vAlign w:val="center"/>
          </w:tcPr>
          <w:p>
            <w:pPr>
              <w:widowControl/>
              <w:jc w:val="left"/>
              <w:textAlignment w:val="center"/>
              <w:rPr>
                <w:rFonts w:ascii="华文细黑" w:hAnsi="华文细黑" w:eastAsia="华文细黑" w:cs="华文细黑"/>
                <w:szCs w:val="21"/>
                <w:lang w:val="zh-CN"/>
              </w:rPr>
            </w:pPr>
            <w:r>
              <w:rPr>
                <w:rFonts w:hint="eastAsia" w:ascii="华文细黑" w:hAnsi="华文细黑" w:eastAsia="华文细黑" w:cs="华文细黑"/>
                <w:szCs w:val="21"/>
              </w:rPr>
              <w:t>60x50x400mm</w:t>
            </w:r>
          </w:p>
        </w:tc>
        <w:tc>
          <w:tcPr>
            <w:tcW w:w="455" w:type="pct"/>
            <w:vAlign w:val="center"/>
          </w:tcPr>
          <w:p>
            <w:pPr>
              <w:widowControl/>
              <w:jc w:val="center"/>
              <w:textAlignment w:val="center"/>
              <w:rPr>
                <w:rFonts w:ascii="华文细黑" w:hAnsi="华文细黑" w:eastAsia="华文细黑" w:cs="华文细黑"/>
                <w:szCs w:val="21"/>
                <w:lang w:val="zh-CN"/>
              </w:rPr>
            </w:pPr>
            <w:r>
              <w:rPr>
                <w:rFonts w:hint="eastAsia" w:ascii="华文细黑" w:hAnsi="华文细黑" w:eastAsia="华文细黑" w:cs="华文细黑"/>
                <w:kern w:val="0"/>
                <w:szCs w:val="21"/>
                <w:lang w:bidi="ar"/>
              </w:rPr>
              <w:t>套</w:t>
            </w:r>
          </w:p>
        </w:tc>
        <w:tc>
          <w:tcPr>
            <w:tcW w:w="409" w:type="pct"/>
            <w:vAlign w:val="center"/>
          </w:tcPr>
          <w:p>
            <w:pPr>
              <w:widowControl/>
              <w:jc w:val="center"/>
              <w:textAlignment w:val="center"/>
              <w:rPr>
                <w:rFonts w:ascii="华文细黑" w:hAnsi="华文细黑" w:eastAsia="华文细黑" w:cs="华文细黑"/>
                <w:szCs w:val="21"/>
                <w:lang w:val="zh-CN"/>
              </w:rPr>
            </w:pPr>
            <w:r>
              <w:rPr>
                <w:rFonts w:hint="eastAsia" w:ascii="华文细黑" w:hAnsi="华文细黑" w:eastAsia="华文细黑" w:cs="华文细黑"/>
                <w:kern w:val="0"/>
                <w:szCs w:val="21"/>
                <w:lang w:bidi="a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trPr>
        <w:tc>
          <w:tcPr>
            <w:tcW w:w="395"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18</w:t>
            </w:r>
          </w:p>
        </w:tc>
        <w:tc>
          <w:tcPr>
            <w:tcW w:w="1303" w:type="pct"/>
            <w:vAlign w:val="center"/>
          </w:tcPr>
          <w:p>
            <w:pPr>
              <w:jc w:val="center"/>
              <w:rPr>
                <w:rFonts w:ascii="华文细黑" w:hAnsi="华文细黑" w:eastAsia="华文细黑" w:cs="华文细黑"/>
                <w:szCs w:val="21"/>
                <w:lang w:val="zh-CN"/>
              </w:rPr>
            </w:pPr>
            <w:r>
              <w:rPr>
                <w:rFonts w:hint="eastAsia" w:ascii="华文细黑" w:hAnsi="华文细黑" w:eastAsia="华文细黑" w:cs="华文细黑"/>
                <w:szCs w:val="21"/>
              </w:rPr>
              <w:t>轴承座调整块</w:t>
            </w:r>
          </w:p>
        </w:tc>
        <w:tc>
          <w:tcPr>
            <w:tcW w:w="2436" w:type="pct"/>
            <w:vAlign w:val="center"/>
          </w:tcPr>
          <w:p>
            <w:pPr>
              <w:rPr>
                <w:rFonts w:ascii="华文细黑" w:hAnsi="华文细黑" w:eastAsia="华文细黑" w:cs="华文细黑"/>
                <w:szCs w:val="21"/>
                <w:lang w:val="zh-CN"/>
              </w:rPr>
            </w:pPr>
            <w:r>
              <w:rPr>
                <w:rFonts w:hint="eastAsia" w:ascii="华文细黑" w:hAnsi="华文细黑" w:eastAsia="华文细黑" w:cs="华文细黑"/>
                <w:szCs w:val="21"/>
              </w:rPr>
              <w:t>55×25×40mm</w:t>
            </w:r>
          </w:p>
        </w:tc>
        <w:tc>
          <w:tcPr>
            <w:tcW w:w="455" w:type="pct"/>
            <w:vAlign w:val="center"/>
          </w:tcPr>
          <w:p>
            <w:pPr>
              <w:jc w:val="center"/>
              <w:rPr>
                <w:rFonts w:ascii="华文细黑" w:hAnsi="华文细黑" w:eastAsia="华文细黑" w:cs="华文细黑"/>
                <w:szCs w:val="21"/>
                <w:lang w:val="zh-CN"/>
              </w:rPr>
            </w:pPr>
            <w:r>
              <w:rPr>
                <w:rFonts w:hint="eastAsia" w:ascii="华文细黑" w:hAnsi="华文细黑" w:eastAsia="华文细黑" w:cs="华文细黑"/>
                <w:szCs w:val="21"/>
              </w:rPr>
              <w:t>个</w:t>
            </w:r>
          </w:p>
        </w:tc>
        <w:tc>
          <w:tcPr>
            <w:tcW w:w="409" w:type="pct"/>
            <w:vAlign w:val="center"/>
          </w:tcPr>
          <w:p>
            <w:pPr>
              <w:jc w:val="center"/>
              <w:rPr>
                <w:rFonts w:ascii="华文细黑" w:hAnsi="华文细黑" w:eastAsia="华文细黑" w:cs="华文细黑"/>
                <w:szCs w:val="21"/>
                <w:lang w:val="zh-CN"/>
              </w:rPr>
            </w:pPr>
            <w:r>
              <w:rPr>
                <w:rFonts w:hint="eastAsia" w:ascii="华文细黑" w:hAnsi="华文细黑" w:eastAsia="华文细黑" w:cs="华文细黑"/>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trPr>
        <w:tc>
          <w:tcPr>
            <w:tcW w:w="395" w:type="pct"/>
            <w:vAlign w:val="center"/>
          </w:tcPr>
          <w:p>
            <w:pPr>
              <w:pStyle w:val="4"/>
              <w:spacing w:line="360" w:lineRule="auto"/>
              <w:rPr>
                <w:rFonts w:ascii="华文细黑" w:hAnsi="华文细黑" w:eastAsia="华文细黑" w:cs="华文细黑"/>
                <w:szCs w:val="21"/>
              </w:rPr>
            </w:pPr>
            <w:r>
              <w:rPr>
                <w:rFonts w:hint="eastAsia" w:ascii="华文细黑" w:hAnsi="华文细黑" w:eastAsia="华文细黑" w:cs="华文细黑"/>
                <w:szCs w:val="21"/>
              </w:rPr>
              <w:t>19</w:t>
            </w:r>
          </w:p>
        </w:tc>
        <w:tc>
          <w:tcPr>
            <w:tcW w:w="1303" w:type="pct"/>
            <w:vAlign w:val="center"/>
          </w:tcPr>
          <w:p>
            <w:pPr>
              <w:jc w:val="center"/>
              <w:rPr>
                <w:rFonts w:ascii="华文细黑" w:hAnsi="华文细黑" w:eastAsia="华文细黑" w:cs="华文细黑"/>
                <w:szCs w:val="21"/>
                <w:lang w:val="zh-CN"/>
              </w:rPr>
            </w:pPr>
            <w:r>
              <w:rPr>
                <w:rFonts w:hint="eastAsia" w:ascii="华文细黑" w:hAnsi="华文细黑" w:eastAsia="华文细黑" w:cs="华文细黑"/>
                <w:szCs w:val="21"/>
              </w:rPr>
              <w:t>磁性座滑块</w:t>
            </w:r>
          </w:p>
        </w:tc>
        <w:tc>
          <w:tcPr>
            <w:tcW w:w="2436" w:type="pct"/>
            <w:vAlign w:val="center"/>
          </w:tcPr>
          <w:p>
            <w:pPr>
              <w:rPr>
                <w:rFonts w:ascii="华文细黑" w:hAnsi="华文细黑" w:eastAsia="华文细黑" w:cs="华文细黑"/>
                <w:szCs w:val="21"/>
                <w:lang w:val="zh-CN"/>
              </w:rPr>
            </w:pPr>
            <w:r>
              <w:rPr>
                <w:rFonts w:hint="eastAsia" w:ascii="华文细黑" w:hAnsi="华文细黑" w:eastAsia="华文细黑" w:cs="华文细黑"/>
                <w:szCs w:val="21"/>
              </w:rPr>
              <w:t>50×60×20mm</w:t>
            </w:r>
          </w:p>
        </w:tc>
        <w:tc>
          <w:tcPr>
            <w:tcW w:w="455" w:type="pct"/>
            <w:vAlign w:val="center"/>
          </w:tcPr>
          <w:p>
            <w:pPr>
              <w:jc w:val="center"/>
              <w:rPr>
                <w:rFonts w:ascii="华文细黑" w:hAnsi="华文细黑" w:eastAsia="华文细黑" w:cs="华文细黑"/>
                <w:szCs w:val="21"/>
                <w:lang w:val="zh-CN"/>
              </w:rPr>
            </w:pPr>
            <w:r>
              <w:rPr>
                <w:rFonts w:hint="eastAsia" w:ascii="华文细黑" w:hAnsi="华文细黑" w:eastAsia="华文细黑" w:cs="华文细黑"/>
                <w:szCs w:val="21"/>
              </w:rPr>
              <w:t>个</w:t>
            </w:r>
          </w:p>
        </w:tc>
        <w:tc>
          <w:tcPr>
            <w:tcW w:w="409" w:type="pct"/>
            <w:vAlign w:val="center"/>
          </w:tcPr>
          <w:p>
            <w:pPr>
              <w:jc w:val="center"/>
              <w:rPr>
                <w:rFonts w:ascii="华文细黑" w:hAnsi="华文细黑" w:eastAsia="华文细黑" w:cs="华文细黑"/>
                <w:szCs w:val="21"/>
                <w:lang w:val="zh-CN"/>
              </w:rPr>
            </w:pPr>
            <w:r>
              <w:rPr>
                <w:rFonts w:hint="eastAsia" w:ascii="华文细黑" w:hAnsi="华文细黑" w:eastAsia="华文细黑" w:cs="华文细黑"/>
                <w:szCs w:val="21"/>
              </w:rPr>
              <w:t>1</w:t>
            </w:r>
          </w:p>
        </w:tc>
      </w:tr>
    </w:tbl>
    <w:p>
      <w:pPr>
        <w:spacing w:line="360" w:lineRule="auto"/>
        <w:ind w:firstLine="480" w:firstLineChars="200"/>
        <w:rPr>
          <w:rFonts w:hint="eastAsia" w:ascii="Noto Sans Mono CJK JP Regular" w:hAnsi="Noto Sans Mono CJK JP Regular" w:eastAsia="华文细黑" w:cs="Noto Sans Mono CJK JP Regular"/>
          <w:kern w:val="0"/>
          <w:sz w:val="24"/>
        </w:rPr>
      </w:pPr>
      <w:r>
        <w:rPr>
          <w:rFonts w:hint="eastAsia" w:ascii="Noto Sans Mono CJK JP Regular" w:hAnsi="Noto Sans Mono CJK JP Regular" w:eastAsia="华文细黑" w:cs="Noto Sans Mono CJK JP Regular"/>
          <w:kern w:val="0"/>
          <w:sz w:val="24"/>
        </w:rPr>
        <w:t>4.机械传动组件（一）</w:t>
      </w:r>
    </w:p>
    <w:p>
      <w:pPr>
        <w:widowControl/>
        <w:spacing w:line="360" w:lineRule="auto"/>
        <w:ind w:firstLine="480" w:firstLineChars="200"/>
        <w:rPr>
          <w:rFonts w:ascii="华文细黑" w:hAnsi="华文细黑" w:eastAsia="华文细黑" w:cs="华文细黑"/>
          <w:sz w:val="24"/>
        </w:rPr>
      </w:pPr>
      <w:r>
        <w:rPr>
          <w:rFonts w:hint="eastAsia" w:ascii="华文细黑" w:hAnsi="华文细黑" w:eastAsia="华文细黑" w:cs="华文细黑"/>
          <w:sz w:val="24"/>
        </w:rPr>
        <w:t>本组件配有带传动、链传动、齿轮传动相关部件。</w:t>
      </w:r>
    </w:p>
    <w:p>
      <w:pPr>
        <w:spacing w:line="360" w:lineRule="auto"/>
        <w:ind w:firstLine="480" w:firstLineChars="200"/>
        <w:outlineLvl w:val="3"/>
        <w:rPr>
          <w:rFonts w:ascii="华文细黑" w:hAnsi="华文细黑" w:eastAsia="华文细黑" w:cs="华文细黑"/>
          <w:sz w:val="24"/>
        </w:rPr>
      </w:pPr>
      <w:r>
        <w:rPr>
          <w:rFonts w:hint="eastAsia" w:ascii="华文细黑" w:hAnsi="华文细黑" w:eastAsia="华文细黑" w:cs="华文细黑"/>
          <w:sz w:val="24"/>
        </w:rPr>
        <w:t>（</w:t>
      </w:r>
      <w:r>
        <w:rPr>
          <w:rFonts w:hint="eastAsia" w:ascii="Noto Sans Mono CJK JP Regular" w:hAnsi="Noto Sans Mono CJK JP Regular" w:eastAsia="华文细黑" w:cs="Noto Sans Mono CJK JP Regular"/>
          <w:kern w:val="0"/>
          <w:sz w:val="24"/>
        </w:rPr>
        <w:t>1</w:t>
      </w:r>
      <w:r>
        <w:rPr>
          <w:rFonts w:hint="eastAsia" w:ascii="华文细黑" w:hAnsi="华文细黑" w:eastAsia="华文细黑" w:cs="华文细黑"/>
          <w:sz w:val="24"/>
        </w:rPr>
        <w:t>）带传动部分</w:t>
      </w:r>
    </w:p>
    <w:p>
      <w:pPr>
        <w:spacing w:line="360" w:lineRule="auto"/>
        <w:ind w:firstLine="480" w:firstLineChars="200"/>
        <w:rPr>
          <w:rFonts w:ascii="华文细黑" w:hAnsi="华文细黑" w:eastAsia="华文细黑" w:cs="华文细黑"/>
          <w:sz w:val="24"/>
        </w:rPr>
      </w:pPr>
      <w:r>
        <w:rPr>
          <w:rFonts w:hint="eastAsia" w:ascii="华文细黑" w:hAnsi="华文细黑" w:eastAsia="华文细黑" w:cs="华文细黑"/>
          <w:sz w:val="24"/>
        </w:rPr>
        <w:t>主要由V型皮带轮、V型</w:t>
      </w:r>
      <w:r>
        <w:rPr>
          <w:rFonts w:hint="eastAsia" w:ascii="华文细黑" w:hAnsi="华文细黑" w:eastAsia="华文细黑" w:cs="华文细黑"/>
          <w:sz w:val="24"/>
          <w:lang w:bidi="ar"/>
        </w:rPr>
        <w:t>皮</w:t>
      </w:r>
      <w:r>
        <w:rPr>
          <w:rFonts w:hint="eastAsia" w:ascii="华文细黑" w:hAnsi="华文细黑" w:eastAsia="华文细黑" w:cs="华文细黑"/>
          <w:sz w:val="24"/>
        </w:rPr>
        <w:t>带、</w:t>
      </w:r>
      <w:r>
        <w:rPr>
          <w:rFonts w:hint="eastAsia" w:ascii="华文细黑" w:hAnsi="华文细黑" w:eastAsia="华文细黑" w:cs="华文细黑"/>
          <w:sz w:val="24"/>
          <w:lang w:bidi="ar"/>
        </w:rPr>
        <w:t>弹性张紧器</w:t>
      </w:r>
      <w:r>
        <w:rPr>
          <w:rFonts w:hint="eastAsia" w:ascii="华文细黑" w:hAnsi="华文细黑" w:eastAsia="华文细黑" w:cs="华文细黑"/>
          <w:sz w:val="24"/>
        </w:rPr>
        <w:t>等组成。</w:t>
      </w:r>
    </w:p>
    <w:p>
      <w:pPr>
        <w:spacing w:line="360" w:lineRule="auto"/>
        <w:ind w:firstLine="480" w:firstLineChars="200"/>
        <w:rPr>
          <w:rFonts w:ascii="华文细黑" w:hAnsi="华文细黑" w:eastAsia="华文细黑" w:cs="华文细黑"/>
          <w:sz w:val="24"/>
        </w:rPr>
      </w:pPr>
      <w:r>
        <w:rPr>
          <w:rFonts w:hint="eastAsia" w:ascii="华文细黑" w:hAnsi="华文细黑" w:eastAsia="华文细黑" w:cs="华文细黑"/>
          <w:sz w:val="24"/>
        </w:rPr>
        <w:t>带传动部分配置</w:t>
      </w:r>
    </w:p>
    <w:tbl>
      <w:tblPr>
        <w:tblStyle w:val="13"/>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15"/>
        <w:gridCol w:w="2180"/>
        <w:gridCol w:w="4152"/>
        <w:gridCol w:w="778"/>
        <w:gridCol w:w="7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19" w:type="pct"/>
            <w:vAlign w:val="center"/>
          </w:tcPr>
          <w:p>
            <w:pPr>
              <w:spacing w:line="360" w:lineRule="auto"/>
              <w:jc w:val="center"/>
              <w:rPr>
                <w:rFonts w:ascii="华文细黑" w:hAnsi="华文细黑" w:eastAsia="华文细黑" w:cs="华文细黑"/>
                <w:b/>
                <w:bCs/>
                <w:szCs w:val="21"/>
                <w:lang w:val="zh-CN"/>
              </w:rPr>
            </w:pPr>
            <w:r>
              <w:rPr>
                <w:rFonts w:hint="eastAsia" w:ascii="华文细黑" w:hAnsi="华文细黑" w:eastAsia="华文细黑" w:cs="华文细黑"/>
                <w:b/>
                <w:bCs/>
                <w:szCs w:val="21"/>
                <w:lang w:val="zh-CN"/>
              </w:rPr>
              <w:t>序号</w:t>
            </w:r>
          </w:p>
        </w:tc>
        <w:tc>
          <w:tcPr>
            <w:tcW w:w="1278" w:type="pct"/>
            <w:vAlign w:val="center"/>
          </w:tcPr>
          <w:p>
            <w:pPr>
              <w:spacing w:line="360" w:lineRule="auto"/>
              <w:jc w:val="center"/>
              <w:rPr>
                <w:rFonts w:ascii="华文细黑" w:hAnsi="华文细黑" w:eastAsia="华文细黑" w:cs="华文细黑"/>
                <w:b/>
                <w:bCs/>
                <w:szCs w:val="21"/>
                <w:lang w:val="zh-CN"/>
              </w:rPr>
            </w:pPr>
            <w:r>
              <w:rPr>
                <w:rFonts w:hint="eastAsia" w:ascii="华文细黑" w:hAnsi="华文细黑" w:eastAsia="华文细黑" w:cs="华文细黑"/>
                <w:b/>
                <w:bCs/>
                <w:szCs w:val="21"/>
                <w:lang w:val="zh-CN"/>
              </w:rPr>
              <w:t>名称</w:t>
            </w:r>
          </w:p>
        </w:tc>
        <w:tc>
          <w:tcPr>
            <w:tcW w:w="2434" w:type="pct"/>
            <w:vAlign w:val="center"/>
          </w:tcPr>
          <w:p>
            <w:pPr>
              <w:spacing w:line="360" w:lineRule="auto"/>
              <w:jc w:val="center"/>
              <w:rPr>
                <w:rFonts w:ascii="华文细黑" w:hAnsi="华文细黑" w:eastAsia="华文细黑" w:cs="华文细黑"/>
                <w:b/>
                <w:bCs/>
                <w:szCs w:val="21"/>
                <w:lang w:val="zh-CN"/>
              </w:rPr>
            </w:pPr>
            <w:r>
              <w:rPr>
                <w:rFonts w:hint="eastAsia" w:ascii="华文细黑" w:hAnsi="华文细黑" w:eastAsia="华文细黑" w:cs="华文细黑"/>
                <w:b/>
                <w:bCs/>
                <w:szCs w:val="21"/>
                <w:lang w:val="zh-CN"/>
              </w:rPr>
              <w:t>规格</w:t>
            </w:r>
          </w:p>
        </w:tc>
        <w:tc>
          <w:tcPr>
            <w:tcW w:w="456" w:type="pct"/>
            <w:vAlign w:val="center"/>
          </w:tcPr>
          <w:p>
            <w:pPr>
              <w:spacing w:line="360" w:lineRule="auto"/>
              <w:jc w:val="center"/>
              <w:rPr>
                <w:rFonts w:ascii="华文细黑" w:hAnsi="华文细黑" w:eastAsia="华文细黑" w:cs="华文细黑"/>
                <w:b/>
                <w:bCs/>
                <w:szCs w:val="21"/>
                <w:lang w:val="zh-CN"/>
              </w:rPr>
            </w:pPr>
            <w:r>
              <w:rPr>
                <w:rFonts w:hint="eastAsia" w:ascii="华文细黑" w:hAnsi="华文细黑" w:eastAsia="华文细黑" w:cs="华文细黑"/>
                <w:b/>
                <w:bCs/>
                <w:szCs w:val="21"/>
                <w:lang w:val="zh-CN"/>
              </w:rPr>
              <w:t>单位</w:t>
            </w:r>
          </w:p>
        </w:tc>
        <w:tc>
          <w:tcPr>
            <w:tcW w:w="410" w:type="pct"/>
            <w:vAlign w:val="center"/>
          </w:tcPr>
          <w:p>
            <w:pPr>
              <w:spacing w:line="360" w:lineRule="auto"/>
              <w:jc w:val="center"/>
              <w:rPr>
                <w:rFonts w:ascii="华文细黑" w:hAnsi="华文细黑" w:eastAsia="华文细黑" w:cs="华文细黑"/>
                <w:b/>
                <w:bCs/>
                <w:szCs w:val="21"/>
                <w:lang w:val="zh-CN"/>
              </w:rPr>
            </w:pPr>
            <w:r>
              <w:rPr>
                <w:rFonts w:hint="eastAsia" w:ascii="华文细黑" w:hAnsi="华文细黑" w:eastAsia="华文细黑" w:cs="华文细黑"/>
                <w:b/>
                <w:bCs/>
                <w:szCs w:val="21"/>
                <w:lang w:val="zh-CN"/>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19"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1</w:t>
            </w:r>
          </w:p>
        </w:tc>
        <w:tc>
          <w:tcPr>
            <w:tcW w:w="1278"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单槽V型带轮</w:t>
            </w:r>
          </w:p>
        </w:tc>
        <w:tc>
          <w:tcPr>
            <w:tcW w:w="2434"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A型，节径80 mm，孔径20 mm和14mm，带键槽和顶丝</w:t>
            </w:r>
          </w:p>
        </w:tc>
        <w:tc>
          <w:tcPr>
            <w:tcW w:w="456"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个</w:t>
            </w:r>
          </w:p>
        </w:tc>
        <w:tc>
          <w:tcPr>
            <w:tcW w:w="410"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各1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jc w:val="center"/>
        </w:trPr>
        <w:tc>
          <w:tcPr>
            <w:tcW w:w="419"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2</w:t>
            </w:r>
          </w:p>
        </w:tc>
        <w:tc>
          <w:tcPr>
            <w:tcW w:w="1278"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单槽V型带轮</w:t>
            </w:r>
          </w:p>
        </w:tc>
        <w:tc>
          <w:tcPr>
            <w:tcW w:w="2434"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A型，节径100 mm，孔径20mm，带键槽和顶丝</w:t>
            </w:r>
          </w:p>
        </w:tc>
        <w:tc>
          <w:tcPr>
            <w:tcW w:w="456"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个</w:t>
            </w:r>
          </w:p>
        </w:tc>
        <w:tc>
          <w:tcPr>
            <w:tcW w:w="410"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jc w:val="center"/>
        </w:trPr>
        <w:tc>
          <w:tcPr>
            <w:tcW w:w="419"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3</w:t>
            </w:r>
          </w:p>
        </w:tc>
        <w:tc>
          <w:tcPr>
            <w:tcW w:w="1278"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单槽V型带轮</w:t>
            </w:r>
          </w:p>
        </w:tc>
        <w:tc>
          <w:tcPr>
            <w:tcW w:w="2434"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A型，节径125 mm，孔径20mm，带键槽和顶丝</w:t>
            </w:r>
          </w:p>
        </w:tc>
        <w:tc>
          <w:tcPr>
            <w:tcW w:w="456"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个</w:t>
            </w:r>
          </w:p>
        </w:tc>
        <w:tc>
          <w:tcPr>
            <w:tcW w:w="410"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19"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4</w:t>
            </w:r>
          </w:p>
        </w:tc>
        <w:tc>
          <w:tcPr>
            <w:tcW w:w="1278"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V型皮带</w:t>
            </w:r>
          </w:p>
        </w:tc>
        <w:tc>
          <w:tcPr>
            <w:tcW w:w="2434"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SPA型，有效节圆周长1000mm</w:t>
            </w:r>
          </w:p>
        </w:tc>
        <w:tc>
          <w:tcPr>
            <w:tcW w:w="456"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套</w:t>
            </w:r>
          </w:p>
        </w:tc>
        <w:tc>
          <w:tcPr>
            <w:tcW w:w="410"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19"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5</w:t>
            </w:r>
          </w:p>
        </w:tc>
        <w:tc>
          <w:tcPr>
            <w:tcW w:w="1278"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弹性张紧器</w:t>
            </w:r>
          </w:p>
        </w:tc>
        <w:tc>
          <w:tcPr>
            <w:tcW w:w="2434"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Ø40×</w:t>
            </w:r>
            <w:r>
              <w:rPr>
                <w:rFonts w:hint="eastAsia" w:ascii="华文细黑" w:hAnsi="华文细黑" w:eastAsia="华文细黑" w:cs="华文细黑"/>
                <w:szCs w:val="21"/>
              </w:rPr>
              <w:t>45</w:t>
            </w:r>
            <w:r>
              <w:rPr>
                <w:rFonts w:hint="eastAsia" w:ascii="华文细黑" w:hAnsi="华文细黑" w:eastAsia="华文细黑" w:cs="华文细黑"/>
                <w:szCs w:val="21"/>
                <w:lang w:val="zh-CN"/>
              </w:rPr>
              <w:t>mm，配张紧器支架</w:t>
            </w:r>
          </w:p>
        </w:tc>
        <w:tc>
          <w:tcPr>
            <w:tcW w:w="456"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套</w:t>
            </w:r>
          </w:p>
        </w:tc>
        <w:tc>
          <w:tcPr>
            <w:tcW w:w="410"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1</w:t>
            </w:r>
          </w:p>
        </w:tc>
      </w:tr>
    </w:tbl>
    <w:p>
      <w:pPr>
        <w:spacing w:line="360" w:lineRule="auto"/>
        <w:ind w:firstLine="480" w:firstLineChars="200"/>
        <w:outlineLvl w:val="3"/>
        <w:rPr>
          <w:rFonts w:ascii="华文细黑" w:hAnsi="华文细黑" w:eastAsia="华文细黑" w:cs="华文细黑"/>
          <w:sz w:val="24"/>
        </w:rPr>
      </w:pPr>
      <w:r>
        <w:rPr>
          <w:rFonts w:hint="eastAsia" w:ascii="Noto Sans Mono CJK JP Regular" w:hAnsi="Noto Sans Mono CJK JP Regular" w:eastAsia="华文细黑" w:cs="Noto Sans Mono CJK JP Regular"/>
          <w:kern w:val="0"/>
          <w:sz w:val="24"/>
        </w:rPr>
        <w:t>（2）</w:t>
      </w:r>
      <w:r>
        <w:rPr>
          <w:rFonts w:hint="eastAsia" w:ascii="华文细黑" w:hAnsi="华文细黑" w:eastAsia="华文细黑" w:cs="华文细黑"/>
          <w:sz w:val="24"/>
        </w:rPr>
        <w:t>链传动部分</w:t>
      </w:r>
    </w:p>
    <w:p>
      <w:pPr>
        <w:spacing w:line="360" w:lineRule="auto"/>
        <w:ind w:firstLine="480" w:firstLineChars="200"/>
        <w:rPr>
          <w:rFonts w:ascii="华文细黑" w:hAnsi="华文细黑" w:eastAsia="华文细黑" w:cs="华文细黑"/>
          <w:sz w:val="24"/>
        </w:rPr>
      </w:pPr>
      <w:r>
        <w:rPr>
          <w:rFonts w:hint="eastAsia" w:ascii="华文细黑" w:hAnsi="华文细黑" w:eastAsia="华文细黑" w:cs="华文细黑"/>
          <w:sz w:val="24"/>
        </w:rPr>
        <w:t>主要由链轮、单排滚子传动链条、链条接头、</w:t>
      </w:r>
      <w:r>
        <w:rPr>
          <w:rFonts w:hint="eastAsia" w:ascii="华文细黑" w:hAnsi="华文细黑" w:eastAsia="华文细黑" w:cs="华文细黑"/>
          <w:sz w:val="24"/>
          <w:lang w:bidi="ar"/>
        </w:rPr>
        <w:t>弹性张紧链轮组</w:t>
      </w:r>
      <w:r>
        <w:rPr>
          <w:rFonts w:hint="eastAsia" w:ascii="华文细黑" w:hAnsi="华文细黑" w:eastAsia="华文细黑" w:cs="华文细黑"/>
          <w:sz w:val="24"/>
        </w:rPr>
        <w:t>等组成。</w:t>
      </w:r>
    </w:p>
    <w:p>
      <w:pPr>
        <w:spacing w:line="360" w:lineRule="auto"/>
        <w:ind w:firstLine="480" w:firstLineChars="200"/>
        <w:rPr>
          <w:rFonts w:ascii="华文细黑" w:hAnsi="华文细黑" w:eastAsia="华文细黑" w:cs="华文细黑"/>
          <w:sz w:val="24"/>
        </w:rPr>
      </w:pPr>
      <w:r>
        <w:rPr>
          <w:rFonts w:hint="eastAsia" w:ascii="华文细黑" w:hAnsi="华文细黑" w:eastAsia="华文细黑" w:cs="华文细黑"/>
          <w:sz w:val="24"/>
        </w:rPr>
        <w:t>链传动部分配置</w:t>
      </w:r>
    </w:p>
    <w:tbl>
      <w:tblPr>
        <w:tblStyle w:val="13"/>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16"/>
        <w:gridCol w:w="2180"/>
        <w:gridCol w:w="4155"/>
        <w:gridCol w:w="774"/>
        <w:gridCol w:w="7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20" w:type="pct"/>
            <w:vAlign w:val="center"/>
          </w:tcPr>
          <w:p>
            <w:pPr>
              <w:spacing w:line="360" w:lineRule="auto"/>
              <w:jc w:val="center"/>
              <w:rPr>
                <w:rFonts w:ascii="华文细黑" w:hAnsi="华文细黑" w:eastAsia="华文细黑" w:cs="华文细黑"/>
                <w:b/>
                <w:bCs/>
                <w:szCs w:val="21"/>
                <w:lang w:val="zh-CN"/>
              </w:rPr>
            </w:pPr>
            <w:r>
              <w:rPr>
                <w:rFonts w:hint="eastAsia" w:ascii="华文细黑" w:hAnsi="华文细黑" w:eastAsia="华文细黑" w:cs="华文细黑"/>
                <w:b/>
                <w:bCs/>
                <w:szCs w:val="21"/>
                <w:lang w:val="zh-CN"/>
              </w:rPr>
              <w:t>序号</w:t>
            </w:r>
          </w:p>
        </w:tc>
        <w:tc>
          <w:tcPr>
            <w:tcW w:w="1278" w:type="pct"/>
            <w:vAlign w:val="center"/>
          </w:tcPr>
          <w:p>
            <w:pPr>
              <w:spacing w:line="360" w:lineRule="auto"/>
              <w:jc w:val="center"/>
              <w:rPr>
                <w:rFonts w:ascii="华文细黑" w:hAnsi="华文细黑" w:eastAsia="华文细黑" w:cs="华文细黑"/>
                <w:b/>
                <w:bCs/>
                <w:szCs w:val="21"/>
                <w:lang w:val="zh-CN"/>
              </w:rPr>
            </w:pPr>
            <w:r>
              <w:rPr>
                <w:rFonts w:hint="eastAsia" w:ascii="华文细黑" w:hAnsi="华文细黑" w:eastAsia="华文细黑" w:cs="华文细黑"/>
                <w:b/>
                <w:bCs/>
                <w:szCs w:val="21"/>
                <w:lang w:val="zh-CN"/>
              </w:rPr>
              <w:t>名称</w:t>
            </w:r>
          </w:p>
        </w:tc>
        <w:tc>
          <w:tcPr>
            <w:tcW w:w="2436" w:type="pct"/>
            <w:vAlign w:val="center"/>
          </w:tcPr>
          <w:p>
            <w:pPr>
              <w:spacing w:line="360" w:lineRule="auto"/>
              <w:jc w:val="center"/>
              <w:rPr>
                <w:rFonts w:ascii="华文细黑" w:hAnsi="华文细黑" w:eastAsia="华文细黑" w:cs="华文细黑"/>
                <w:b/>
                <w:bCs/>
                <w:szCs w:val="21"/>
                <w:lang w:val="zh-CN"/>
              </w:rPr>
            </w:pPr>
            <w:r>
              <w:rPr>
                <w:rFonts w:hint="eastAsia" w:ascii="华文细黑" w:hAnsi="华文细黑" w:eastAsia="华文细黑" w:cs="华文细黑"/>
                <w:b/>
                <w:bCs/>
                <w:szCs w:val="21"/>
                <w:lang w:val="zh-CN"/>
              </w:rPr>
              <w:t>规格</w:t>
            </w:r>
          </w:p>
        </w:tc>
        <w:tc>
          <w:tcPr>
            <w:tcW w:w="454" w:type="pct"/>
            <w:vAlign w:val="center"/>
          </w:tcPr>
          <w:p>
            <w:pPr>
              <w:spacing w:line="360" w:lineRule="auto"/>
              <w:jc w:val="center"/>
              <w:rPr>
                <w:rFonts w:ascii="华文细黑" w:hAnsi="华文细黑" w:eastAsia="华文细黑" w:cs="华文细黑"/>
                <w:b/>
                <w:bCs/>
                <w:szCs w:val="21"/>
                <w:lang w:val="zh-CN"/>
              </w:rPr>
            </w:pPr>
            <w:r>
              <w:rPr>
                <w:rFonts w:hint="eastAsia" w:ascii="华文细黑" w:hAnsi="华文细黑" w:eastAsia="华文细黑" w:cs="华文细黑"/>
                <w:b/>
                <w:bCs/>
                <w:szCs w:val="21"/>
                <w:lang w:val="zh-CN"/>
              </w:rPr>
              <w:t>单位</w:t>
            </w:r>
          </w:p>
        </w:tc>
        <w:tc>
          <w:tcPr>
            <w:tcW w:w="410" w:type="pct"/>
            <w:vAlign w:val="center"/>
          </w:tcPr>
          <w:p>
            <w:pPr>
              <w:spacing w:line="360" w:lineRule="auto"/>
              <w:jc w:val="center"/>
              <w:rPr>
                <w:rFonts w:ascii="华文细黑" w:hAnsi="华文细黑" w:eastAsia="华文细黑" w:cs="华文细黑"/>
                <w:b/>
                <w:bCs/>
                <w:szCs w:val="21"/>
                <w:lang w:val="zh-CN"/>
              </w:rPr>
            </w:pPr>
            <w:r>
              <w:rPr>
                <w:rFonts w:hint="eastAsia" w:ascii="华文细黑" w:hAnsi="华文细黑" w:eastAsia="华文细黑" w:cs="华文细黑"/>
                <w:b/>
                <w:bCs/>
                <w:szCs w:val="21"/>
                <w:lang w:val="zh-CN"/>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20"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1</w:t>
            </w:r>
          </w:p>
        </w:tc>
        <w:tc>
          <w:tcPr>
            <w:tcW w:w="1278"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单排滚子链</w:t>
            </w:r>
          </w:p>
        </w:tc>
        <w:tc>
          <w:tcPr>
            <w:tcW w:w="2436"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08B-1-84</w:t>
            </w:r>
          </w:p>
        </w:tc>
        <w:tc>
          <w:tcPr>
            <w:tcW w:w="454"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条</w:t>
            </w:r>
          </w:p>
        </w:tc>
        <w:tc>
          <w:tcPr>
            <w:tcW w:w="410"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20"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2</w:t>
            </w:r>
          </w:p>
        </w:tc>
        <w:tc>
          <w:tcPr>
            <w:tcW w:w="1278"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单排滚子链</w:t>
            </w:r>
          </w:p>
        </w:tc>
        <w:tc>
          <w:tcPr>
            <w:tcW w:w="2436"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08B-1-100</w:t>
            </w:r>
          </w:p>
        </w:tc>
        <w:tc>
          <w:tcPr>
            <w:tcW w:w="454"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条</w:t>
            </w:r>
          </w:p>
        </w:tc>
        <w:tc>
          <w:tcPr>
            <w:tcW w:w="410"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20"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3</w:t>
            </w:r>
          </w:p>
        </w:tc>
        <w:tc>
          <w:tcPr>
            <w:tcW w:w="1278"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单排链轮</w:t>
            </w:r>
          </w:p>
        </w:tc>
        <w:tc>
          <w:tcPr>
            <w:tcW w:w="2436"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08B，齿数15，孔径20 mm和14mm，带键槽和顶丝</w:t>
            </w:r>
          </w:p>
        </w:tc>
        <w:tc>
          <w:tcPr>
            <w:tcW w:w="454"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个</w:t>
            </w:r>
          </w:p>
        </w:tc>
        <w:tc>
          <w:tcPr>
            <w:tcW w:w="410"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各1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20"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4</w:t>
            </w:r>
          </w:p>
        </w:tc>
        <w:tc>
          <w:tcPr>
            <w:tcW w:w="1278"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单排链轮</w:t>
            </w:r>
          </w:p>
        </w:tc>
        <w:tc>
          <w:tcPr>
            <w:tcW w:w="2436"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08B，齿数20，孔径20 mm，带键槽和顶丝</w:t>
            </w:r>
          </w:p>
        </w:tc>
        <w:tc>
          <w:tcPr>
            <w:tcW w:w="454"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个</w:t>
            </w:r>
          </w:p>
        </w:tc>
        <w:tc>
          <w:tcPr>
            <w:tcW w:w="410"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20"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5</w:t>
            </w:r>
          </w:p>
        </w:tc>
        <w:tc>
          <w:tcPr>
            <w:tcW w:w="1278"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单排链轮</w:t>
            </w:r>
          </w:p>
        </w:tc>
        <w:tc>
          <w:tcPr>
            <w:tcW w:w="2436"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08B，齿数25，孔径20 mm，带键槽和顶丝</w:t>
            </w:r>
          </w:p>
        </w:tc>
        <w:tc>
          <w:tcPr>
            <w:tcW w:w="454"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个</w:t>
            </w:r>
          </w:p>
        </w:tc>
        <w:tc>
          <w:tcPr>
            <w:tcW w:w="410"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20"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6</w:t>
            </w:r>
          </w:p>
        </w:tc>
        <w:tc>
          <w:tcPr>
            <w:tcW w:w="1278"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链条接头</w:t>
            </w:r>
          </w:p>
        </w:tc>
        <w:tc>
          <w:tcPr>
            <w:tcW w:w="2436"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08单排滚子链用</w:t>
            </w:r>
          </w:p>
        </w:tc>
        <w:tc>
          <w:tcPr>
            <w:tcW w:w="454"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个</w:t>
            </w:r>
          </w:p>
        </w:tc>
        <w:tc>
          <w:tcPr>
            <w:tcW w:w="410"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20"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7</w:t>
            </w:r>
          </w:p>
        </w:tc>
        <w:tc>
          <w:tcPr>
            <w:tcW w:w="1278"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单排张紧链轮组件</w:t>
            </w:r>
          </w:p>
        </w:tc>
        <w:tc>
          <w:tcPr>
            <w:tcW w:w="2436"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08B，齿数15，配张紧器</w:t>
            </w:r>
          </w:p>
        </w:tc>
        <w:tc>
          <w:tcPr>
            <w:tcW w:w="454"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套</w:t>
            </w:r>
          </w:p>
        </w:tc>
        <w:tc>
          <w:tcPr>
            <w:tcW w:w="410"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1</w:t>
            </w:r>
          </w:p>
        </w:tc>
      </w:tr>
    </w:tbl>
    <w:p>
      <w:pPr>
        <w:spacing w:line="360" w:lineRule="auto"/>
        <w:ind w:firstLine="480" w:firstLineChars="200"/>
        <w:outlineLvl w:val="3"/>
        <w:rPr>
          <w:rFonts w:ascii="华文细黑" w:hAnsi="华文细黑" w:eastAsia="华文细黑" w:cs="华文细黑"/>
          <w:sz w:val="24"/>
        </w:rPr>
      </w:pPr>
      <w:r>
        <w:rPr>
          <w:rFonts w:hint="eastAsia" w:ascii="华文细黑" w:hAnsi="华文细黑" w:eastAsia="华文细黑" w:cs="华文细黑"/>
          <w:sz w:val="24"/>
        </w:rPr>
        <w:t>（</w:t>
      </w:r>
      <w:r>
        <w:rPr>
          <w:rFonts w:hint="eastAsia" w:ascii="Noto Sans Mono CJK JP Regular" w:hAnsi="Noto Sans Mono CJK JP Regular" w:eastAsia="华文细黑" w:cs="Noto Sans Mono CJK JP Regular"/>
          <w:kern w:val="0"/>
          <w:sz w:val="24"/>
        </w:rPr>
        <w:t>3</w:t>
      </w:r>
      <w:r>
        <w:rPr>
          <w:rFonts w:hint="eastAsia" w:ascii="华文细黑" w:hAnsi="华文细黑" w:eastAsia="华文细黑" w:cs="华文细黑"/>
          <w:sz w:val="24"/>
        </w:rPr>
        <w:t>）齿轮传动部分</w:t>
      </w:r>
    </w:p>
    <w:p>
      <w:pPr>
        <w:spacing w:line="360" w:lineRule="auto"/>
        <w:ind w:firstLine="480" w:firstLineChars="200"/>
        <w:rPr>
          <w:rFonts w:ascii="华文细黑" w:hAnsi="华文细黑" w:eastAsia="华文细黑" w:cs="华文细黑"/>
          <w:sz w:val="24"/>
        </w:rPr>
      </w:pPr>
      <w:r>
        <w:rPr>
          <w:rFonts w:hint="eastAsia" w:ascii="华文细黑" w:hAnsi="华文细黑" w:eastAsia="华文细黑" w:cs="华文细黑"/>
          <w:sz w:val="24"/>
        </w:rPr>
        <w:t>齿轮传动部分配置</w:t>
      </w:r>
    </w:p>
    <w:tbl>
      <w:tblPr>
        <w:tblStyle w:val="13"/>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36"/>
        <w:gridCol w:w="2159"/>
        <w:gridCol w:w="4153"/>
        <w:gridCol w:w="778"/>
        <w:gridCol w:w="6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32" w:type="pct"/>
            <w:vAlign w:val="center"/>
          </w:tcPr>
          <w:p>
            <w:pPr>
              <w:spacing w:line="360" w:lineRule="auto"/>
              <w:jc w:val="center"/>
              <w:rPr>
                <w:rFonts w:ascii="华文细黑" w:hAnsi="华文细黑" w:eastAsia="华文细黑" w:cs="华文细黑"/>
                <w:b/>
                <w:bCs/>
                <w:szCs w:val="21"/>
                <w:lang w:val="zh-CN"/>
              </w:rPr>
            </w:pPr>
            <w:r>
              <w:rPr>
                <w:rFonts w:hint="eastAsia" w:ascii="华文细黑" w:hAnsi="华文细黑" w:eastAsia="华文细黑" w:cs="华文细黑"/>
                <w:b/>
                <w:bCs/>
                <w:szCs w:val="21"/>
                <w:lang w:val="zh-CN"/>
              </w:rPr>
              <w:t>序号</w:t>
            </w:r>
          </w:p>
        </w:tc>
        <w:tc>
          <w:tcPr>
            <w:tcW w:w="1266" w:type="pct"/>
            <w:vAlign w:val="center"/>
          </w:tcPr>
          <w:p>
            <w:pPr>
              <w:spacing w:line="360" w:lineRule="auto"/>
              <w:jc w:val="center"/>
              <w:rPr>
                <w:rFonts w:ascii="华文细黑" w:hAnsi="华文细黑" w:eastAsia="华文细黑" w:cs="华文细黑"/>
                <w:b/>
                <w:bCs/>
                <w:szCs w:val="21"/>
                <w:lang w:val="zh-CN"/>
              </w:rPr>
            </w:pPr>
            <w:r>
              <w:rPr>
                <w:rFonts w:hint="eastAsia" w:ascii="华文细黑" w:hAnsi="华文细黑" w:eastAsia="华文细黑" w:cs="华文细黑"/>
                <w:b/>
                <w:bCs/>
                <w:szCs w:val="21"/>
                <w:lang w:val="zh-CN"/>
              </w:rPr>
              <w:t>名称</w:t>
            </w:r>
          </w:p>
        </w:tc>
        <w:tc>
          <w:tcPr>
            <w:tcW w:w="2435" w:type="pct"/>
            <w:vAlign w:val="center"/>
          </w:tcPr>
          <w:p>
            <w:pPr>
              <w:spacing w:line="360" w:lineRule="auto"/>
              <w:jc w:val="center"/>
              <w:rPr>
                <w:rFonts w:ascii="华文细黑" w:hAnsi="华文细黑" w:eastAsia="华文细黑" w:cs="华文细黑"/>
                <w:b/>
                <w:bCs/>
                <w:szCs w:val="21"/>
                <w:lang w:val="zh-CN"/>
              </w:rPr>
            </w:pPr>
            <w:r>
              <w:rPr>
                <w:rFonts w:hint="eastAsia" w:ascii="华文细黑" w:hAnsi="华文细黑" w:eastAsia="华文细黑" w:cs="华文细黑"/>
                <w:b/>
                <w:bCs/>
                <w:szCs w:val="21"/>
                <w:lang w:val="zh-CN"/>
              </w:rPr>
              <w:t>规格</w:t>
            </w:r>
          </w:p>
        </w:tc>
        <w:tc>
          <w:tcPr>
            <w:tcW w:w="456" w:type="pct"/>
            <w:vAlign w:val="center"/>
          </w:tcPr>
          <w:p>
            <w:pPr>
              <w:spacing w:line="360" w:lineRule="auto"/>
              <w:jc w:val="center"/>
              <w:rPr>
                <w:rFonts w:ascii="华文细黑" w:hAnsi="华文细黑" w:eastAsia="华文细黑" w:cs="华文细黑"/>
                <w:b/>
                <w:bCs/>
                <w:szCs w:val="21"/>
                <w:lang w:val="zh-CN"/>
              </w:rPr>
            </w:pPr>
            <w:r>
              <w:rPr>
                <w:rFonts w:hint="eastAsia" w:ascii="华文细黑" w:hAnsi="华文细黑" w:eastAsia="华文细黑" w:cs="华文细黑"/>
                <w:b/>
                <w:bCs/>
                <w:szCs w:val="21"/>
                <w:lang w:val="zh-CN"/>
              </w:rPr>
              <w:t>单位</w:t>
            </w:r>
          </w:p>
        </w:tc>
        <w:tc>
          <w:tcPr>
            <w:tcW w:w="410" w:type="pct"/>
            <w:vAlign w:val="center"/>
          </w:tcPr>
          <w:p>
            <w:pPr>
              <w:spacing w:line="360" w:lineRule="auto"/>
              <w:jc w:val="center"/>
              <w:rPr>
                <w:rFonts w:ascii="华文细黑" w:hAnsi="华文细黑" w:eastAsia="华文细黑" w:cs="华文细黑"/>
                <w:b/>
                <w:bCs/>
                <w:szCs w:val="21"/>
                <w:lang w:val="zh-CN"/>
              </w:rPr>
            </w:pPr>
            <w:r>
              <w:rPr>
                <w:rFonts w:hint="eastAsia" w:ascii="华文细黑" w:hAnsi="华文细黑" w:eastAsia="华文细黑" w:cs="华文细黑"/>
                <w:b/>
                <w:bCs/>
                <w:szCs w:val="21"/>
                <w:lang w:val="zh-CN"/>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32"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1</w:t>
            </w:r>
          </w:p>
        </w:tc>
        <w:tc>
          <w:tcPr>
            <w:tcW w:w="1266"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直齿圆柱齿轮</w:t>
            </w:r>
          </w:p>
        </w:tc>
        <w:tc>
          <w:tcPr>
            <w:tcW w:w="2435"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齿数48，模数1.5，压力角20°，配孔径20 mm免键式胀紧套</w:t>
            </w:r>
          </w:p>
        </w:tc>
        <w:tc>
          <w:tcPr>
            <w:tcW w:w="456"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个</w:t>
            </w:r>
          </w:p>
        </w:tc>
        <w:tc>
          <w:tcPr>
            <w:tcW w:w="410"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trPr>
        <w:tc>
          <w:tcPr>
            <w:tcW w:w="432"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2</w:t>
            </w:r>
          </w:p>
        </w:tc>
        <w:tc>
          <w:tcPr>
            <w:tcW w:w="1266"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直齿圆柱齿轮</w:t>
            </w:r>
          </w:p>
        </w:tc>
        <w:tc>
          <w:tcPr>
            <w:tcW w:w="2435"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齿数60，模数1.5，压力角20°，配孔径20 mm免键式胀紧套</w:t>
            </w:r>
          </w:p>
        </w:tc>
        <w:tc>
          <w:tcPr>
            <w:tcW w:w="456"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个</w:t>
            </w:r>
          </w:p>
        </w:tc>
        <w:tc>
          <w:tcPr>
            <w:tcW w:w="410"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trPr>
        <w:tc>
          <w:tcPr>
            <w:tcW w:w="432"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3</w:t>
            </w:r>
          </w:p>
        </w:tc>
        <w:tc>
          <w:tcPr>
            <w:tcW w:w="1266"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直齿圆柱齿轮</w:t>
            </w:r>
          </w:p>
        </w:tc>
        <w:tc>
          <w:tcPr>
            <w:tcW w:w="2435"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齿数30，模数2，压力角20°，孔径20 mm和14mm，带键槽和顶丝</w:t>
            </w:r>
          </w:p>
        </w:tc>
        <w:tc>
          <w:tcPr>
            <w:tcW w:w="456"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个</w:t>
            </w:r>
          </w:p>
        </w:tc>
        <w:tc>
          <w:tcPr>
            <w:tcW w:w="410"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各1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32"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4</w:t>
            </w:r>
          </w:p>
        </w:tc>
        <w:tc>
          <w:tcPr>
            <w:tcW w:w="1266"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直齿圆柱齿轮</w:t>
            </w:r>
          </w:p>
        </w:tc>
        <w:tc>
          <w:tcPr>
            <w:tcW w:w="2435"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齿数40，模数2，压力角20°，孔径20 mm，带键槽和顶丝</w:t>
            </w:r>
          </w:p>
        </w:tc>
        <w:tc>
          <w:tcPr>
            <w:tcW w:w="456"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个</w:t>
            </w:r>
          </w:p>
        </w:tc>
        <w:tc>
          <w:tcPr>
            <w:tcW w:w="410"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32"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5</w:t>
            </w:r>
          </w:p>
        </w:tc>
        <w:tc>
          <w:tcPr>
            <w:tcW w:w="1266"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直齿圆柱齿轮</w:t>
            </w:r>
          </w:p>
        </w:tc>
        <w:tc>
          <w:tcPr>
            <w:tcW w:w="2435"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齿数50，模数2，压力角20°，孔径20 mm，带键槽和顶丝</w:t>
            </w:r>
          </w:p>
        </w:tc>
        <w:tc>
          <w:tcPr>
            <w:tcW w:w="456"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个</w:t>
            </w:r>
          </w:p>
        </w:tc>
        <w:tc>
          <w:tcPr>
            <w:tcW w:w="410"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trPr>
        <w:tc>
          <w:tcPr>
            <w:tcW w:w="432"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6</w:t>
            </w:r>
          </w:p>
        </w:tc>
        <w:tc>
          <w:tcPr>
            <w:tcW w:w="1266"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直齿圆柱齿轮</w:t>
            </w:r>
          </w:p>
        </w:tc>
        <w:tc>
          <w:tcPr>
            <w:tcW w:w="2435"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齿数60，模数2，压力角20°，配有孔径20 mm免键式胀紧套</w:t>
            </w:r>
          </w:p>
        </w:tc>
        <w:tc>
          <w:tcPr>
            <w:tcW w:w="456"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个</w:t>
            </w:r>
          </w:p>
        </w:tc>
        <w:tc>
          <w:tcPr>
            <w:tcW w:w="410"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1</w:t>
            </w:r>
          </w:p>
        </w:tc>
      </w:tr>
    </w:tbl>
    <w:p>
      <w:pPr>
        <w:widowControl/>
        <w:spacing w:line="360" w:lineRule="auto"/>
        <w:ind w:firstLine="480" w:firstLineChars="200"/>
        <w:outlineLvl w:val="1"/>
        <w:rPr>
          <w:rFonts w:ascii="华文细黑" w:hAnsi="华文细黑" w:eastAsia="华文细黑" w:cs="华文细黑"/>
          <w:bCs/>
          <w:sz w:val="24"/>
        </w:rPr>
      </w:pPr>
      <w:r>
        <w:rPr>
          <w:rFonts w:hint="eastAsia" w:ascii="Noto Sans Mono CJK JP Regular" w:hAnsi="Noto Sans Mono CJK JP Regular" w:eastAsia="华文细黑" w:cs="Noto Sans Mono CJK JP Regular"/>
          <w:kern w:val="0"/>
          <w:sz w:val="24"/>
        </w:rPr>
        <w:t>5.</w:t>
      </w:r>
      <w:r>
        <w:rPr>
          <w:rFonts w:hint="eastAsia" w:ascii="华文细黑" w:hAnsi="华文细黑" w:eastAsia="华文细黑" w:cs="华文细黑"/>
          <w:bCs/>
          <w:sz w:val="24"/>
        </w:rPr>
        <w:t>机械传动组件（二）</w:t>
      </w:r>
    </w:p>
    <w:p>
      <w:pPr>
        <w:spacing w:line="360" w:lineRule="auto"/>
        <w:ind w:firstLine="480" w:firstLineChars="200"/>
        <w:rPr>
          <w:rFonts w:ascii="华文细黑" w:hAnsi="华文细黑" w:eastAsia="华文细黑" w:cs="华文细黑"/>
          <w:sz w:val="24"/>
        </w:rPr>
      </w:pPr>
      <w:r>
        <w:rPr>
          <w:rFonts w:hint="eastAsia" w:ascii="华文细黑" w:hAnsi="华文细黑" w:eastAsia="华文细黑" w:cs="华文细黑"/>
          <w:sz w:val="24"/>
        </w:rPr>
        <w:t>主要配置如下：</w:t>
      </w:r>
    </w:p>
    <w:p>
      <w:pPr>
        <w:spacing w:line="360" w:lineRule="auto"/>
        <w:ind w:firstLine="480" w:firstLineChars="200"/>
        <w:outlineLvl w:val="3"/>
        <w:rPr>
          <w:rFonts w:ascii="华文细黑" w:hAnsi="华文细黑" w:eastAsia="华文细黑" w:cs="华文细黑"/>
          <w:sz w:val="24"/>
        </w:rPr>
      </w:pPr>
      <w:r>
        <w:rPr>
          <w:rFonts w:hint="eastAsia" w:ascii="华文细黑" w:hAnsi="华文细黑" w:eastAsia="华文细黑" w:cs="华文细黑"/>
          <w:sz w:val="24"/>
        </w:rPr>
        <w:t>（</w:t>
      </w:r>
      <w:r>
        <w:rPr>
          <w:rFonts w:hint="eastAsia" w:ascii="Noto Sans Mono CJK JP Regular" w:hAnsi="Noto Sans Mono CJK JP Regular" w:eastAsia="华文细黑" w:cs="Noto Sans Mono CJK JP Regular"/>
          <w:kern w:val="0"/>
          <w:sz w:val="24"/>
        </w:rPr>
        <w:t>1</w:t>
      </w:r>
      <w:r>
        <w:rPr>
          <w:rFonts w:hint="eastAsia" w:ascii="华文细黑" w:hAnsi="华文细黑" w:eastAsia="华文细黑" w:cs="华文细黑"/>
          <w:sz w:val="24"/>
        </w:rPr>
        <w:t>）带传动部分</w:t>
      </w:r>
    </w:p>
    <w:p>
      <w:pPr>
        <w:spacing w:line="360" w:lineRule="auto"/>
        <w:rPr>
          <w:rFonts w:ascii="华文细黑" w:hAnsi="华文细黑" w:eastAsia="华文细黑" w:cs="华文细黑"/>
          <w:sz w:val="24"/>
        </w:rPr>
      </w:pPr>
      <w:r>
        <w:rPr>
          <w:rFonts w:hint="eastAsia" w:ascii="华文细黑" w:hAnsi="华文细黑" w:eastAsia="华文细黑" w:cs="华文细黑"/>
          <w:sz w:val="24"/>
        </w:rPr>
        <w:t>主要由级进V型带轮、同步带轮、锥套式同步带轮、</w:t>
      </w:r>
      <w:r>
        <w:rPr>
          <w:rFonts w:hint="eastAsia" w:ascii="华文细黑" w:hAnsi="华文细黑" w:eastAsia="华文细黑" w:cs="华文细黑"/>
          <w:sz w:val="24"/>
          <w:lang w:bidi="ar"/>
        </w:rPr>
        <w:t>组合式变径带轮，锥套式</w:t>
      </w:r>
      <w:r>
        <w:rPr>
          <w:rFonts w:hint="eastAsia" w:ascii="华文细黑" w:hAnsi="华文细黑" w:eastAsia="华文细黑" w:cs="华文细黑"/>
          <w:sz w:val="24"/>
        </w:rPr>
        <w:t>双槽皮带轮、配套皮带等组成。</w:t>
      </w:r>
    </w:p>
    <w:tbl>
      <w:tblPr>
        <w:tblStyle w:val="13"/>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65"/>
        <w:gridCol w:w="2228"/>
        <w:gridCol w:w="4155"/>
        <w:gridCol w:w="778"/>
        <w:gridCol w:w="6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90" w:type="pct"/>
            <w:vAlign w:val="center"/>
          </w:tcPr>
          <w:p>
            <w:pPr>
              <w:spacing w:line="360" w:lineRule="auto"/>
              <w:jc w:val="center"/>
              <w:rPr>
                <w:rFonts w:ascii="华文细黑" w:hAnsi="华文细黑" w:eastAsia="华文细黑" w:cs="华文细黑"/>
                <w:b/>
                <w:bCs/>
                <w:szCs w:val="21"/>
                <w:lang w:val="zh-CN"/>
              </w:rPr>
            </w:pPr>
            <w:r>
              <w:rPr>
                <w:rFonts w:hint="eastAsia" w:ascii="华文细黑" w:hAnsi="华文细黑" w:eastAsia="华文细黑" w:cs="华文细黑"/>
                <w:b/>
                <w:bCs/>
                <w:szCs w:val="21"/>
                <w:lang w:val="zh-CN"/>
              </w:rPr>
              <w:t>序号</w:t>
            </w:r>
          </w:p>
        </w:tc>
        <w:tc>
          <w:tcPr>
            <w:tcW w:w="1306" w:type="pct"/>
            <w:vAlign w:val="center"/>
          </w:tcPr>
          <w:p>
            <w:pPr>
              <w:spacing w:line="360" w:lineRule="auto"/>
              <w:jc w:val="center"/>
              <w:rPr>
                <w:rFonts w:ascii="华文细黑" w:hAnsi="华文细黑" w:eastAsia="华文细黑" w:cs="华文细黑"/>
                <w:b/>
                <w:bCs/>
                <w:szCs w:val="21"/>
                <w:lang w:val="zh-CN"/>
              </w:rPr>
            </w:pPr>
            <w:r>
              <w:rPr>
                <w:rFonts w:hint="eastAsia" w:ascii="华文细黑" w:hAnsi="华文细黑" w:eastAsia="华文细黑" w:cs="华文细黑"/>
                <w:b/>
                <w:bCs/>
                <w:szCs w:val="21"/>
                <w:lang w:val="zh-CN"/>
              </w:rPr>
              <w:t>名称</w:t>
            </w:r>
          </w:p>
        </w:tc>
        <w:tc>
          <w:tcPr>
            <w:tcW w:w="2436" w:type="pct"/>
            <w:vAlign w:val="center"/>
          </w:tcPr>
          <w:p>
            <w:pPr>
              <w:spacing w:line="360" w:lineRule="auto"/>
              <w:jc w:val="center"/>
              <w:rPr>
                <w:rFonts w:ascii="华文细黑" w:hAnsi="华文细黑" w:eastAsia="华文细黑" w:cs="华文细黑"/>
                <w:b/>
                <w:bCs/>
                <w:szCs w:val="21"/>
                <w:lang w:val="zh-CN"/>
              </w:rPr>
            </w:pPr>
            <w:r>
              <w:rPr>
                <w:rFonts w:hint="eastAsia" w:ascii="华文细黑" w:hAnsi="华文细黑" w:eastAsia="华文细黑" w:cs="华文细黑"/>
                <w:b/>
                <w:bCs/>
                <w:szCs w:val="21"/>
                <w:lang w:val="zh-CN"/>
              </w:rPr>
              <w:t>规格</w:t>
            </w:r>
          </w:p>
        </w:tc>
        <w:tc>
          <w:tcPr>
            <w:tcW w:w="456" w:type="pct"/>
            <w:vAlign w:val="center"/>
          </w:tcPr>
          <w:p>
            <w:pPr>
              <w:spacing w:line="360" w:lineRule="auto"/>
              <w:jc w:val="center"/>
              <w:rPr>
                <w:rFonts w:ascii="华文细黑" w:hAnsi="华文细黑" w:eastAsia="华文细黑" w:cs="华文细黑"/>
                <w:b/>
                <w:bCs/>
                <w:szCs w:val="21"/>
                <w:lang w:val="zh-CN"/>
              </w:rPr>
            </w:pPr>
            <w:r>
              <w:rPr>
                <w:rFonts w:hint="eastAsia" w:ascii="华文细黑" w:hAnsi="华文细黑" w:eastAsia="华文细黑" w:cs="华文细黑"/>
                <w:b/>
                <w:bCs/>
                <w:szCs w:val="21"/>
                <w:lang w:val="zh-CN"/>
              </w:rPr>
              <w:t>单位</w:t>
            </w:r>
          </w:p>
        </w:tc>
        <w:tc>
          <w:tcPr>
            <w:tcW w:w="410" w:type="pct"/>
            <w:vAlign w:val="center"/>
          </w:tcPr>
          <w:p>
            <w:pPr>
              <w:spacing w:line="360" w:lineRule="auto"/>
              <w:jc w:val="center"/>
              <w:rPr>
                <w:rFonts w:ascii="华文细黑" w:hAnsi="华文细黑" w:eastAsia="华文细黑" w:cs="华文细黑"/>
                <w:b/>
                <w:bCs/>
                <w:szCs w:val="21"/>
                <w:lang w:val="zh-CN"/>
              </w:rPr>
            </w:pPr>
            <w:r>
              <w:rPr>
                <w:rFonts w:hint="eastAsia" w:ascii="华文细黑" w:hAnsi="华文细黑" w:eastAsia="华文细黑" w:cs="华文细黑"/>
                <w:b/>
                <w:bCs/>
                <w:szCs w:val="21"/>
                <w:lang w:val="zh-CN"/>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90"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1</w:t>
            </w:r>
          </w:p>
        </w:tc>
        <w:tc>
          <w:tcPr>
            <w:tcW w:w="1306"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级进V型带轮</w:t>
            </w:r>
          </w:p>
        </w:tc>
        <w:tc>
          <w:tcPr>
            <w:tcW w:w="2436"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A型槽，节径55mm和90mm，孔径20 mm；带键槽和顶丝</w:t>
            </w:r>
          </w:p>
        </w:tc>
        <w:tc>
          <w:tcPr>
            <w:tcW w:w="456"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个</w:t>
            </w:r>
          </w:p>
        </w:tc>
        <w:tc>
          <w:tcPr>
            <w:tcW w:w="410"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90"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2</w:t>
            </w:r>
          </w:p>
        </w:tc>
        <w:tc>
          <w:tcPr>
            <w:tcW w:w="1306"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同步带轮</w:t>
            </w:r>
          </w:p>
        </w:tc>
        <w:tc>
          <w:tcPr>
            <w:tcW w:w="2436"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T10型，24齿，孔径20 mm和14mm；带键槽和顶丝</w:t>
            </w:r>
          </w:p>
        </w:tc>
        <w:tc>
          <w:tcPr>
            <w:tcW w:w="456"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个</w:t>
            </w:r>
          </w:p>
        </w:tc>
        <w:tc>
          <w:tcPr>
            <w:tcW w:w="410"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90"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3</w:t>
            </w:r>
          </w:p>
        </w:tc>
        <w:tc>
          <w:tcPr>
            <w:tcW w:w="1306"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锥套式同步带轮</w:t>
            </w:r>
          </w:p>
        </w:tc>
        <w:tc>
          <w:tcPr>
            <w:tcW w:w="2436"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8M型，24齿；配孔径20mm锥形衬套，带键槽</w:t>
            </w:r>
          </w:p>
        </w:tc>
        <w:tc>
          <w:tcPr>
            <w:tcW w:w="456"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个</w:t>
            </w:r>
          </w:p>
        </w:tc>
        <w:tc>
          <w:tcPr>
            <w:tcW w:w="410"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90"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4</w:t>
            </w:r>
          </w:p>
        </w:tc>
        <w:tc>
          <w:tcPr>
            <w:tcW w:w="1306"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锥套式同步带轮</w:t>
            </w:r>
          </w:p>
        </w:tc>
        <w:tc>
          <w:tcPr>
            <w:tcW w:w="2436"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8M型，30齿，配孔径20mm锥形衬套，带键槽</w:t>
            </w:r>
          </w:p>
        </w:tc>
        <w:tc>
          <w:tcPr>
            <w:tcW w:w="456"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个</w:t>
            </w:r>
          </w:p>
        </w:tc>
        <w:tc>
          <w:tcPr>
            <w:tcW w:w="410"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90"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5</w:t>
            </w:r>
          </w:p>
        </w:tc>
        <w:tc>
          <w:tcPr>
            <w:tcW w:w="1306"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组合式变径V带轮</w:t>
            </w:r>
          </w:p>
        </w:tc>
        <w:tc>
          <w:tcPr>
            <w:tcW w:w="2436"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孔径20mm，带键槽和顶丝</w:t>
            </w:r>
          </w:p>
        </w:tc>
        <w:tc>
          <w:tcPr>
            <w:tcW w:w="456"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套</w:t>
            </w:r>
          </w:p>
        </w:tc>
        <w:tc>
          <w:tcPr>
            <w:tcW w:w="410"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90"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6</w:t>
            </w:r>
          </w:p>
        </w:tc>
        <w:tc>
          <w:tcPr>
            <w:tcW w:w="1306"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锥套式双槽V带轮</w:t>
            </w:r>
          </w:p>
        </w:tc>
        <w:tc>
          <w:tcPr>
            <w:tcW w:w="2436"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双槽A型，节径90mm；配孔径20 mm的锥形衬套带键槽</w:t>
            </w:r>
          </w:p>
        </w:tc>
        <w:tc>
          <w:tcPr>
            <w:tcW w:w="456"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个</w:t>
            </w:r>
          </w:p>
        </w:tc>
        <w:tc>
          <w:tcPr>
            <w:tcW w:w="410"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90"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7</w:t>
            </w:r>
          </w:p>
        </w:tc>
        <w:tc>
          <w:tcPr>
            <w:tcW w:w="1306"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锥套式双槽V带轮</w:t>
            </w:r>
          </w:p>
        </w:tc>
        <w:tc>
          <w:tcPr>
            <w:tcW w:w="2436"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双槽A型，节径125 mm；配孔径20 mm的锥形衬套带键槽</w:t>
            </w:r>
          </w:p>
        </w:tc>
        <w:tc>
          <w:tcPr>
            <w:tcW w:w="456"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个</w:t>
            </w:r>
          </w:p>
        </w:tc>
        <w:tc>
          <w:tcPr>
            <w:tcW w:w="410"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90"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8</w:t>
            </w:r>
          </w:p>
        </w:tc>
        <w:tc>
          <w:tcPr>
            <w:tcW w:w="1306"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V型皮带</w:t>
            </w:r>
          </w:p>
        </w:tc>
        <w:tc>
          <w:tcPr>
            <w:tcW w:w="2436"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A48</w:t>
            </w:r>
          </w:p>
        </w:tc>
        <w:tc>
          <w:tcPr>
            <w:tcW w:w="456"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条</w:t>
            </w:r>
          </w:p>
        </w:tc>
        <w:tc>
          <w:tcPr>
            <w:tcW w:w="410"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90"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9</w:t>
            </w:r>
          </w:p>
        </w:tc>
        <w:tc>
          <w:tcPr>
            <w:tcW w:w="1306"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V型皮带</w:t>
            </w:r>
          </w:p>
        </w:tc>
        <w:tc>
          <w:tcPr>
            <w:tcW w:w="2436"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A38</w:t>
            </w:r>
          </w:p>
        </w:tc>
        <w:tc>
          <w:tcPr>
            <w:tcW w:w="456"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条</w:t>
            </w:r>
          </w:p>
        </w:tc>
        <w:tc>
          <w:tcPr>
            <w:tcW w:w="410"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90"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10</w:t>
            </w:r>
          </w:p>
        </w:tc>
        <w:tc>
          <w:tcPr>
            <w:tcW w:w="1306"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齿形带</w:t>
            </w:r>
          </w:p>
        </w:tc>
        <w:tc>
          <w:tcPr>
            <w:tcW w:w="2436"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XPA型，有效节圆周长1000 mm</w:t>
            </w:r>
          </w:p>
        </w:tc>
        <w:tc>
          <w:tcPr>
            <w:tcW w:w="456"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条</w:t>
            </w:r>
          </w:p>
        </w:tc>
        <w:tc>
          <w:tcPr>
            <w:tcW w:w="410"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90"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11</w:t>
            </w:r>
          </w:p>
        </w:tc>
        <w:tc>
          <w:tcPr>
            <w:tcW w:w="1306"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同步带</w:t>
            </w:r>
          </w:p>
        </w:tc>
        <w:tc>
          <w:tcPr>
            <w:tcW w:w="2436"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T10型，98齿</w:t>
            </w:r>
          </w:p>
        </w:tc>
        <w:tc>
          <w:tcPr>
            <w:tcW w:w="456"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条</w:t>
            </w:r>
          </w:p>
        </w:tc>
        <w:tc>
          <w:tcPr>
            <w:tcW w:w="410"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90"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12</w:t>
            </w:r>
          </w:p>
        </w:tc>
        <w:tc>
          <w:tcPr>
            <w:tcW w:w="1306"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同步带</w:t>
            </w:r>
          </w:p>
        </w:tc>
        <w:tc>
          <w:tcPr>
            <w:tcW w:w="2436"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HTD型号，120齿</w:t>
            </w:r>
          </w:p>
        </w:tc>
        <w:tc>
          <w:tcPr>
            <w:tcW w:w="456"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条</w:t>
            </w:r>
          </w:p>
        </w:tc>
        <w:tc>
          <w:tcPr>
            <w:tcW w:w="410"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1</w:t>
            </w:r>
          </w:p>
        </w:tc>
      </w:tr>
    </w:tbl>
    <w:p>
      <w:pPr>
        <w:spacing w:line="360" w:lineRule="auto"/>
        <w:ind w:firstLine="480" w:firstLineChars="200"/>
        <w:outlineLvl w:val="3"/>
        <w:rPr>
          <w:rFonts w:ascii="华文细黑" w:hAnsi="华文细黑" w:eastAsia="华文细黑" w:cs="华文细黑"/>
          <w:sz w:val="24"/>
        </w:rPr>
      </w:pPr>
      <w:r>
        <w:rPr>
          <w:rFonts w:hint="eastAsia" w:ascii="华文细黑" w:hAnsi="华文细黑" w:eastAsia="华文细黑" w:cs="华文细黑"/>
          <w:sz w:val="24"/>
        </w:rPr>
        <w:t>（</w:t>
      </w:r>
      <w:r>
        <w:rPr>
          <w:rFonts w:hint="eastAsia" w:ascii="Noto Sans Mono CJK JP Regular" w:hAnsi="Noto Sans Mono CJK JP Regular" w:eastAsia="华文细黑" w:cs="Noto Sans Mono CJK JP Regular"/>
          <w:kern w:val="0"/>
          <w:sz w:val="24"/>
        </w:rPr>
        <w:t>2</w:t>
      </w:r>
      <w:r>
        <w:rPr>
          <w:rFonts w:hint="eastAsia" w:ascii="华文细黑" w:hAnsi="华文细黑" w:eastAsia="华文细黑" w:cs="华文细黑"/>
          <w:sz w:val="24"/>
        </w:rPr>
        <w:t>）链传动部分</w:t>
      </w:r>
    </w:p>
    <w:p>
      <w:pPr>
        <w:spacing w:line="360" w:lineRule="auto"/>
        <w:ind w:firstLine="480" w:firstLineChars="200"/>
        <w:rPr>
          <w:rFonts w:ascii="华文细黑" w:hAnsi="华文细黑" w:eastAsia="华文细黑" w:cs="华文细黑"/>
          <w:sz w:val="24"/>
        </w:rPr>
      </w:pPr>
      <w:r>
        <w:rPr>
          <w:rFonts w:hint="eastAsia" w:ascii="华文细黑" w:hAnsi="华文细黑" w:eastAsia="华文细黑" w:cs="华文细黑"/>
          <w:sz w:val="24"/>
        </w:rPr>
        <w:t>主要由双排链轮、配套双排滚子链条、双排滚子链条接头及</w:t>
      </w:r>
      <w:r>
        <w:rPr>
          <w:rFonts w:hint="eastAsia" w:ascii="华文细黑" w:hAnsi="华文细黑" w:eastAsia="华文细黑" w:cs="华文细黑"/>
          <w:sz w:val="24"/>
          <w:lang w:bidi="ar"/>
        </w:rPr>
        <w:t>双排张紧链轮组件</w:t>
      </w:r>
      <w:r>
        <w:rPr>
          <w:rFonts w:hint="eastAsia" w:ascii="华文细黑" w:hAnsi="华文细黑" w:eastAsia="华文细黑" w:cs="华文细黑"/>
          <w:sz w:val="24"/>
        </w:rPr>
        <w:t>等组成。</w:t>
      </w:r>
    </w:p>
    <w:tbl>
      <w:tblPr>
        <w:tblStyle w:val="13"/>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96"/>
        <w:gridCol w:w="2197"/>
        <w:gridCol w:w="4158"/>
        <w:gridCol w:w="775"/>
        <w:gridCol w:w="6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08" w:type="pct"/>
            <w:vAlign w:val="center"/>
          </w:tcPr>
          <w:p>
            <w:pPr>
              <w:spacing w:line="360" w:lineRule="auto"/>
              <w:jc w:val="center"/>
              <w:rPr>
                <w:rFonts w:ascii="华文细黑" w:hAnsi="华文细黑" w:eastAsia="华文细黑" w:cs="华文细黑"/>
                <w:b/>
                <w:bCs/>
                <w:szCs w:val="21"/>
                <w:lang w:val="zh-CN"/>
              </w:rPr>
            </w:pPr>
            <w:r>
              <w:rPr>
                <w:rFonts w:hint="eastAsia" w:ascii="华文细黑" w:hAnsi="华文细黑" w:eastAsia="华文细黑" w:cs="华文细黑"/>
                <w:b/>
                <w:bCs/>
                <w:szCs w:val="21"/>
                <w:lang w:val="zh-CN"/>
              </w:rPr>
              <w:t>序号</w:t>
            </w:r>
          </w:p>
        </w:tc>
        <w:tc>
          <w:tcPr>
            <w:tcW w:w="1288" w:type="pct"/>
            <w:vAlign w:val="center"/>
          </w:tcPr>
          <w:p>
            <w:pPr>
              <w:spacing w:line="360" w:lineRule="auto"/>
              <w:jc w:val="center"/>
              <w:rPr>
                <w:rFonts w:ascii="华文细黑" w:hAnsi="华文细黑" w:eastAsia="华文细黑" w:cs="华文细黑"/>
                <w:b/>
                <w:bCs/>
                <w:szCs w:val="21"/>
                <w:lang w:val="zh-CN"/>
              </w:rPr>
            </w:pPr>
            <w:r>
              <w:rPr>
                <w:rFonts w:hint="eastAsia" w:ascii="华文细黑" w:hAnsi="华文细黑" w:eastAsia="华文细黑" w:cs="华文细黑"/>
                <w:b/>
                <w:bCs/>
                <w:szCs w:val="21"/>
                <w:lang w:val="zh-CN"/>
              </w:rPr>
              <w:t>名称</w:t>
            </w:r>
          </w:p>
        </w:tc>
        <w:tc>
          <w:tcPr>
            <w:tcW w:w="2437" w:type="pct"/>
            <w:vAlign w:val="center"/>
          </w:tcPr>
          <w:p>
            <w:pPr>
              <w:spacing w:line="360" w:lineRule="auto"/>
              <w:jc w:val="center"/>
              <w:rPr>
                <w:rFonts w:ascii="华文细黑" w:hAnsi="华文细黑" w:eastAsia="华文细黑" w:cs="华文细黑"/>
                <w:b/>
                <w:bCs/>
                <w:szCs w:val="21"/>
                <w:lang w:val="zh-CN"/>
              </w:rPr>
            </w:pPr>
            <w:r>
              <w:rPr>
                <w:rFonts w:hint="eastAsia" w:ascii="华文细黑" w:hAnsi="华文细黑" w:eastAsia="华文细黑" w:cs="华文细黑"/>
                <w:b/>
                <w:bCs/>
                <w:szCs w:val="21"/>
                <w:lang w:val="zh-CN"/>
              </w:rPr>
              <w:t>规格</w:t>
            </w:r>
          </w:p>
        </w:tc>
        <w:tc>
          <w:tcPr>
            <w:tcW w:w="454" w:type="pct"/>
            <w:vAlign w:val="center"/>
          </w:tcPr>
          <w:p>
            <w:pPr>
              <w:spacing w:line="360" w:lineRule="auto"/>
              <w:jc w:val="center"/>
              <w:rPr>
                <w:rFonts w:ascii="华文细黑" w:hAnsi="华文细黑" w:eastAsia="华文细黑" w:cs="华文细黑"/>
                <w:b/>
                <w:bCs/>
                <w:szCs w:val="21"/>
                <w:lang w:val="zh-CN"/>
              </w:rPr>
            </w:pPr>
            <w:r>
              <w:rPr>
                <w:rFonts w:hint="eastAsia" w:ascii="华文细黑" w:hAnsi="华文细黑" w:eastAsia="华文细黑" w:cs="华文细黑"/>
                <w:b/>
                <w:bCs/>
                <w:szCs w:val="21"/>
                <w:lang w:val="zh-CN"/>
              </w:rPr>
              <w:t>单位</w:t>
            </w:r>
          </w:p>
        </w:tc>
        <w:tc>
          <w:tcPr>
            <w:tcW w:w="410" w:type="pct"/>
            <w:vAlign w:val="center"/>
          </w:tcPr>
          <w:p>
            <w:pPr>
              <w:spacing w:line="360" w:lineRule="auto"/>
              <w:jc w:val="center"/>
              <w:rPr>
                <w:rFonts w:ascii="华文细黑" w:hAnsi="华文细黑" w:eastAsia="华文细黑" w:cs="华文细黑"/>
                <w:b/>
                <w:bCs/>
                <w:szCs w:val="21"/>
                <w:lang w:val="zh-CN"/>
              </w:rPr>
            </w:pPr>
            <w:r>
              <w:rPr>
                <w:rFonts w:hint="eastAsia" w:ascii="华文细黑" w:hAnsi="华文细黑" w:eastAsia="华文细黑" w:cs="华文细黑"/>
                <w:b/>
                <w:bCs/>
                <w:szCs w:val="21"/>
                <w:lang w:val="zh-CN"/>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08"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1</w:t>
            </w:r>
          </w:p>
        </w:tc>
        <w:tc>
          <w:tcPr>
            <w:tcW w:w="1288"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锥套式双排链轮</w:t>
            </w:r>
          </w:p>
        </w:tc>
        <w:tc>
          <w:tcPr>
            <w:tcW w:w="2437"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08B-2，齿数17，配孔径20 mm的锥形衬套带键槽</w:t>
            </w:r>
          </w:p>
        </w:tc>
        <w:tc>
          <w:tcPr>
            <w:tcW w:w="454"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个</w:t>
            </w:r>
          </w:p>
        </w:tc>
        <w:tc>
          <w:tcPr>
            <w:tcW w:w="410"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08"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2</w:t>
            </w:r>
          </w:p>
        </w:tc>
        <w:tc>
          <w:tcPr>
            <w:tcW w:w="1288"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锥套式双排链轮</w:t>
            </w:r>
          </w:p>
        </w:tc>
        <w:tc>
          <w:tcPr>
            <w:tcW w:w="2437"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08B-2，齿数20，配孔径20 mm的锥形衬套带键槽</w:t>
            </w:r>
          </w:p>
        </w:tc>
        <w:tc>
          <w:tcPr>
            <w:tcW w:w="454"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个</w:t>
            </w:r>
          </w:p>
        </w:tc>
        <w:tc>
          <w:tcPr>
            <w:tcW w:w="410"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trPr>
        <w:tc>
          <w:tcPr>
            <w:tcW w:w="408"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3</w:t>
            </w:r>
          </w:p>
        </w:tc>
        <w:tc>
          <w:tcPr>
            <w:tcW w:w="1288"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双排滚子链条</w:t>
            </w:r>
          </w:p>
        </w:tc>
        <w:tc>
          <w:tcPr>
            <w:tcW w:w="2437"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08B双排  100节</w:t>
            </w:r>
          </w:p>
        </w:tc>
        <w:tc>
          <w:tcPr>
            <w:tcW w:w="454"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个</w:t>
            </w:r>
          </w:p>
        </w:tc>
        <w:tc>
          <w:tcPr>
            <w:tcW w:w="410"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08"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4</w:t>
            </w:r>
          </w:p>
        </w:tc>
        <w:tc>
          <w:tcPr>
            <w:tcW w:w="1288"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链条接头</w:t>
            </w:r>
          </w:p>
        </w:tc>
        <w:tc>
          <w:tcPr>
            <w:tcW w:w="2437"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 xml:space="preserve">双排滚子链用 </w:t>
            </w:r>
          </w:p>
        </w:tc>
        <w:tc>
          <w:tcPr>
            <w:tcW w:w="454"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个</w:t>
            </w:r>
          </w:p>
        </w:tc>
        <w:tc>
          <w:tcPr>
            <w:tcW w:w="410"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08"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5</w:t>
            </w:r>
          </w:p>
        </w:tc>
        <w:tc>
          <w:tcPr>
            <w:tcW w:w="1288"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双排张紧链轮组件</w:t>
            </w:r>
          </w:p>
        </w:tc>
        <w:tc>
          <w:tcPr>
            <w:tcW w:w="2437"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08B双排，齿数15，内配滚动轴承</w:t>
            </w:r>
          </w:p>
        </w:tc>
        <w:tc>
          <w:tcPr>
            <w:tcW w:w="454"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个</w:t>
            </w:r>
          </w:p>
        </w:tc>
        <w:tc>
          <w:tcPr>
            <w:tcW w:w="410"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1</w:t>
            </w:r>
          </w:p>
        </w:tc>
      </w:tr>
    </w:tbl>
    <w:p>
      <w:pPr>
        <w:spacing w:line="360" w:lineRule="auto"/>
        <w:ind w:firstLine="480" w:firstLineChars="200"/>
        <w:outlineLvl w:val="3"/>
        <w:rPr>
          <w:rFonts w:ascii="华文细黑" w:hAnsi="华文细黑" w:eastAsia="华文细黑" w:cs="华文细黑"/>
          <w:sz w:val="24"/>
        </w:rPr>
      </w:pPr>
      <w:r>
        <w:rPr>
          <w:rFonts w:hint="eastAsia" w:ascii="华文细黑" w:hAnsi="华文细黑" w:eastAsia="华文细黑" w:cs="华文细黑"/>
          <w:sz w:val="24"/>
        </w:rPr>
        <w:t>（</w:t>
      </w:r>
      <w:r>
        <w:rPr>
          <w:rFonts w:hint="eastAsia" w:ascii="Noto Sans Mono CJK JP Regular" w:hAnsi="Noto Sans Mono CJK JP Regular" w:eastAsia="华文细黑" w:cs="Noto Sans Mono CJK JP Regular"/>
          <w:kern w:val="0"/>
          <w:sz w:val="24"/>
        </w:rPr>
        <w:t>3</w:t>
      </w:r>
      <w:r>
        <w:rPr>
          <w:rFonts w:hint="eastAsia" w:ascii="华文细黑" w:hAnsi="华文细黑" w:eastAsia="华文细黑" w:cs="华文细黑"/>
          <w:sz w:val="24"/>
        </w:rPr>
        <w:t>）齿轮传动部分</w:t>
      </w:r>
    </w:p>
    <w:p>
      <w:pPr>
        <w:widowControl/>
        <w:spacing w:line="360" w:lineRule="auto"/>
        <w:ind w:firstLine="480" w:firstLineChars="200"/>
        <w:textAlignment w:val="center"/>
        <w:rPr>
          <w:rFonts w:ascii="华文细黑" w:hAnsi="华文细黑" w:eastAsia="华文细黑" w:cs="华文细黑"/>
          <w:sz w:val="24"/>
          <w:lang w:bidi="ar"/>
        </w:rPr>
      </w:pPr>
      <w:r>
        <w:rPr>
          <w:rFonts w:hint="eastAsia" w:ascii="华文细黑" w:hAnsi="华文细黑" w:eastAsia="华文细黑" w:cs="华文细黑"/>
          <w:sz w:val="24"/>
          <w:lang w:bidi="ar"/>
        </w:rPr>
        <w:t>主要由直齿锥齿轮、蜗轮蜗杆、斜齿轮、安装组件等组成。</w:t>
      </w:r>
    </w:p>
    <w:tbl>
      <w:tblPr>
        <w:tblStyle w:val="13"/>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86"/>
        <w:gridCol w:w="2207"/>
        <w:gridCol w:w="4155"/>
        <w:gridCol w:w="778"/>
        <w:gridCol w:w="6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02" w:type="pct"/>
            <w:vAlign w:val="center"/>
          </w:tcPr>
          <w:p>
            <w:pPr>
              <w:spacing w:line="360" w:lineRule="auto"/>
              <w:jc w:val="center"/>
              <w:rPr>
                <w:rFonts w:ascii="华文细黑" w:hAnsi="华文细黑" w:eastAsia="华文细黑" w:cs="华文细黑"/>
                <w:b/>
                <w:bCs/>
                <w:szCs w:val="21"/>
                <w:lang w:val="zh-CN"/>
              </w:rPr>
            </w:pPr>
            <w:r>
              <w:rPr>
                <w:rFonts w:hint="eastAsia" w:ascii="华文细黑" w:hAnsi="华文细黑" w:eastAsia="华文细黑" w:cs="华文细黑"/>
                <w:b/>
                <w:bCs/>
                <w:szCs w:val="21"/>
                <w:lang w:val="zh-CN"/>
              </w:rPr>
              <w:t>序号</w:t>
            </w:r>
          </w:p>
        </w:tc>
        <w:tc>
          <w:tcPr>
            <w:tcW w:w="1294" w:type="pct"/>
            <w:vAlign w:val="center"/>
          </w:tcPr>
          <w:p>
            <w:pPr>
              <w:spacing w:line="360" w:lineRule="auto"/>
              <w:jc w:val="center"/>
              <w:rPr>
                <w:rFonts w:ascii="华文细黑" w:hAnsi="华文细黑" w:eastAsia="华文细黑" w:cs="华文细黑"/>
                <w:b/>
                <w:bCs/>
                <w:szCs w:val="21"/>
                <w:lang w:val="zh-CN"/>
              </w:rPr>
            </w:pPr>
            <w:r>
              <w:rPr>
                <w:rFonts w:hint="eastAsia" w:ascii="华文细黑" w:hAnsi="华文细黑" w:eastAsia="华文细黑" w:cs="华文细黑"/>
                <w:b/>
                <w:bCs/>
                <w:szCs w:val="21"/>
                <w:lang w:val="zh-CN"/>
              </w:rPr>
              <w:t>名称</w:t>
            </w:r>
          </w:p>
        </w:tc>
        <w:tc>
          <w:tcPr>
            <w:tcW w:w="2436" w:type="pct"/>
            <w:vAlign w:val="center"/>
          </w:tcPr>
          <w:p>
            <w:pPr>
              <w:spacing w:line="360" w:lineRule="auto"/>
              <w:jc w:val="center"/>
              <w:rPr>
                <w:rFonts w:ascii="华文细黑" w:hAnsi="华文细黑" w:eastAsia="华文细黑" w:cs="华文细黑"/>
                <w:b/>
                <w:bCs/>
                <w:szCs w:val="21"/>
                <w:lang w:val="zh-CN"/>
              </w:rPr>
            </w:pPr>
            <w:r>
              <w:rPr>
                <w:rFonts w:hint="eastAsia" w:ascii="华文细黑" w:hAnsi="华文细黑" w:eastAsia="华文细黑" w:cs="华文细黑"/>
                <w:b/>
                <w:bCs/>
                <w:szCs w:val="21"/>
                <w:lang w:val="zh-CN"/>
              </w:rPr>
              <w:t>规格</w:t>
            </w:r>
          </w:p>
        </w:tc>
        <w:tc>
          <w:tcPr>
            <w:tcW w:w="456" w:type="pct"/>
            <w:vAlign w:val="center"/>
          </w:tcPr>
          <w:p>
            <w:pPr>
              <w:spacing w:line="360" w:lineRule="auto"/>
              <w:jc w:val="center"/>
              <w:rPr>
                <w:rFonts w:ascii="华文细黑" w:hAnsi="华文细黑" w:eastAsia="华文细黑" w:cs="华文细黑"/>
                <w:b/>
                <w:bCs/>
                <w:szCs w:val="21"/>
                <w:lang w:val="zh-CN"/>
              </w:rPr>
            </w:pPr>
            <w:r>
              <w:rPr>
                <w:rFonts w:hint="eastAsia" w:ascii="华文细黑" w:hAnsi="华文细黑" w:eastAsia="华文细黑" w:cs="华文细黑"/>
                <w:b/>
                <w:bCs/>
                <w:szCs w:val="21"/>
                <w:lang w:val="zh-CN"/>
              </w:rPr>
              <w:t>单位</w:t>
            </w:r>
          </w:p>
        </w:tc>
        <w:tc>
          <w:tcPr>
            <w:tcW w:w="410" w:type="pct"/>
            <w:vAlign w:val="center"/>
          </w:tcPr>
          <w:p>
            <w:pPr>
              <w:spacing w:line="360" w:lineRule="auto"/>
              <w:jc w:val="center"/>
              <w:rPr>
                <w:rFonts w:ascii="华文细黑" w:hAnsi="华文细黑" w:eastAsia="华文细黑" w:cs="华文细黑"/>
                <w:b/>
                <w:bCs/>
                <w:szCs w:val="21"/>
                <w:lang w:val="zh-CN"/>
              </w:rPr>
            </w:pPr>
            <w:r>
              <w:rPr>
                <w:rFonts w:hint="eastAsia" w:ascii="华文细黑" w:hAnsi="华文细黑" w:eastAsia="华文细黑" w:cs="华文细黑"/>
                <w:b/>
                <w:bCs/>
                <w:szCs w:val="21"/>
                <w:lang w:val="zh-CN"/>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02"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1</w:t>
            </w:r>
          </w:p>
        </w:tc>
        <w:tc>
          <w:tcPr>
            <w:tcW w:w="1294"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直齿锥齿轮</w:t>
            </w:r>
          </w:p>
        </w:tc>
        <w:tc>
          <w:tcPr>
            <w:tcW w:w="2436"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齿数30，模数2，孔径20 mm；带键槽和顶丝</w:t>
            </w:r>
          </w:p>
        </w:tc>
        <w:tc>
          <w:tcPr>
            <w:tcW w:w="456"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个</w:t>
            </w:r>
          </w:p>
        </w:tc>
        <w:tc>
          <w:tcPr>
            <w:tcW w:w="410"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02"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2</w:t>
            </w:r>
          </w:p>
        </w:tc>
        <w:tc>
          <w:tcPr>
            <w:tcW w:w="1294"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蜗杆</w:t>
            </w:r>
          </w:p>
        </w:tc>
        <w:tc>
          <w:tcPr>
            <w:tcW w:w="2436" w:type="pct"/>
            <w:vAlign w:val="center"/>
          </w:tcPr>
          <w:p>
            <w:pPr>
              <w:pStyle w:val="4"/>
              <w:spacing w:line="360" w:lineRule="auto"/>
              <w:rPr>
                <w:rFonts w:ascii="华文细黑" w:hAnsi="华文细黑" w:eastAsia="华文细黑" w:cs="华文细黑"/>
                <w:szCs w:val="21"/>
              </w:rPr>
            </w:pPr>
            <w:r>
              <w:rPr>
                <w:rFonts w:hint="eastAsia" w:ascii="华文细黑" w:hAnsi="华文细黑" w:eastAsia="华文细黑" w:cs="华文细黑"/>
                <w:szCs w:val="21"/>
                <w:lang w:val="zh-CN"/>
              </w:rPr>
              <w:t>模数2.5，压力角20°；带键槽和顶</w:t>
            </w:r>
            <w:r>
              <w:rPr>
                <w:rFonts w:hint="eastAsia" w:ascii="华文细黑" w:hAnsi="华文细黑" w:eastAsia="华文细黑" w:cs="华文细黑"/>
                <w:szCs w:val="21"/>
              </w:rPr>
              <w:t>丝</w:t>
            </w:r>
          </w:p>
        </w:tc>
        <w:tc>
          <w:tcPr>
            <w:tcW w:w="456"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个</w:t>
            </w:r>
          </w:p>
        </w:tc>
        <w:tc>
          <w:tcPr>
            <w:tcW w:w="410"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02"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3</w:t>
            </w:r>
          </w:p>
        </w:tc>
        <w:tc>
          <w:tcPr>
            <w:tcW w:w="1294"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蜗轮</w:t>
            </w:r>
          </w:p>
        </w:tc>
        <w:tc>
          <w:tcPr>
            <w:tcW w:w="2436"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模数2.5，齿数46，压力角为20°</w:t>
            </w:r>
          </w:p>
        </w:tc>
        <w:tc>
          <w:tcPr>
            <w:tcW w:w="456"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个</w:t>
            </w:r>
          </w:p>
        </w:tc>
        <w:tc>
          <w:tcPr>
            <w:tcW w:w="410"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02"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4</w:t>
            </w:r>
          </w:p>
        </w:tc>
        <w:tc>
          <w:tcPr>
            <w:tcW w:w="1294"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斜齿轮</w:t>
            </w:r>
          </w:p>
        </w:tc>
        <w:tc>
          <w:tcPr>
            <w:tcW w:w="2436"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左旋，模数2，齿数30，孔径20 mm，带键槽和顶丝</w:t>
            </w:r>
          </w:p>
        </w:tc>
        <w:tc>
          <w:tcPr>
            <w:tcW w:w="456"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个</w:t>
            </w:r>
          </w:p>
        </w:tc>
        <w:tc>
          <w:tcPr>
            <w:tcW w:w="410"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02"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5</w:t>
            </w:r>
          </w:p>
        </w:tc>
        <w:tc>
          <w:tcPr>
            <w:tcW w:w="1294"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斜齿轮</w:t>
            </w:r>
          </w:p>
        </w:tc>
        <w:tc>
          <w:tcPr>
            <w:tcW w:w="2436"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右旋，模数2，齿数30，孔径20mm，带键槽和顶丝</w:t>
            </w:r>
          </w:p>
        </w:tc>
        <w:tc>
          <w:tcPr>
            <w:tcW w:w="456"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个</w:t>
            </w:r>
          </w:p>
        </w:tc>
        <w:tc>
          <w:tcPr>
            <w:tcW w:w="410"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02"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6</w:t>
            </w:r>
          </w:p>
        </w:tc>
        <w:tc>
          <w:tcPr>
            <w:tcW w:w="1294"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传动轴止推环</w:t>
            </w:r>
          </w:p>
        </w:tc>
        <w:tc>
          <w:tcPr>
            <w:tcW w:w="2436"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20*40*12</w:t>
            </w:r>
          </w:p>
        </w:tc>
        <w:tc>
          <w:tcPr>
            <w:tcW w:w="456"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个</w:t>
            </w:r>
          </w:p>
        </w:tc>
        <w:tc>
          <w:tcPr>
            <w:tcW w:w="410"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02"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7</w:t>
            </w:r>
          </w:p>
        </w:tc>
        <w:tc>
          <w:tcPr>
            <w:tcW w:w="1294"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蜗轮、蜗杆安装座</w:t>
            </w:r>
          </w:p>
        </w:tc>
        <w:tc>
          <w:tcPr>
            <w:tcW w:w="2436"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170*40*35</w:t>
            </w:r>
          </w:p>
        </w:tc>
        <w:tc>
          <w:tcPr>
            <w:tcW w:w="456"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个</w:t>
            </w:r>
          </w:p>
        </w:tc>
        <w:tc>
          <w:tcPr>
            <w:tcW w:w="410"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2</w:t>
            </w:r>
          </w:p>
        </w:tc>
      </w:tr>
    </w:tbl>
    <w:p>
      <w:pPr>
        <w:spacing w:line="360" w:lineRule="auto"/>
        <w:ind w:firstLine="480" w:firstLineChars="200"/>
        <w:outlineLvl w:val="1"/>
        <w:rPr>
          <w:rFonts w:ascii="华文细黑" w:hAnsi="华文细黑" w:eastAsia="华文细黑" w:cs="华文细黑"/>
          <w:sz w:val="24"/>
        </w:rPr>
      </w:pPr>
      <w:r>
        <w:rPr>
          <w:rFonts w:hint="eastAsia" w:ascii="Noto Sans Mono CJK JP Regular" w:hAnsi="Noto Sans Mono CJK JP Regular" w:eastAsia="华文细黑" w:cs="Noto Sans Mono CJK JP Regular"/>
          <w:kern w:val="0"/>
          <w:sz w:val="24"/>
        </w:rPr>
        <w:t>6.</w:t>
      </w:r>
      <w:r>
        <w:rPr>
          <w:rFonts w:hint="eastAsia" w:ascii="华文细黑" w:hAnsi="华文细黑" w:eastAsia="华文细黑" w:cs="华文细黑"/>
          <w:sz w:val="24"/>
          <w:lang w:bidi="ar"/>
        </w:rPr>
        <w:t>机床</w:t>
      </w:r>
      <w:r>
        <w:rPr>
          <w:rFonts w:hint="eastAsia" w:ascii="华文细黑" w:hAnsi="华文细黑" w:eastAsia="华文细黑" w:cs="华文细黑"/>
          <w:sz w:val="24"/>
        </w:rPr>
        <w:t>主轴</w:t>
      </w:r>
      <w:r>
        <w:rPr>
          <w:rFonts w:hint="eastAsia" w:ascii="华文细黑" w:hAnsi="华文细黑" w:eastAsia="华文细黑" w:cs="华文细黑"/>
          <w:sz w:val="24"/>
          <w:lang w:bidi="ar"/>
        </w:rPr>
        <w:t>模型</w:t>
      </w:r>
    </w:p>
    <w:p>
      <w:pPr>
        <w:widowControl/>
        <w:spacing w:line="360" w:lineRule="auto"/>
        <w:ind w:firstLine="480" w:firstLineChars="200"/>
        <w:rPr>
          <w:rFonts w:ascii="华文细黑" w:hAnsi="华文细黑" w:eastAsia="华文细黑" w:cs="华文细黑"/>
          <w:sz w:val="24"/>
          <w:lang w:bidi="ar"/>
        </w:rPr>
      </w:pPr>
      <w:r>
        <w:rPr>
          <w:rFonts w:hint="eastAsia" w:ascii="华文细黑" w:hAnsi="华文细黑" w:eastAsia="华文细黑" w:cs="华文细黑"/>
          <w:sz w:val="24"/>
          <w:lang w:bidi="ar"/>
        </w:rPr>
        <w:t>主要由模拟主轴、轴承（角接触轴承和深沟球轴承两种）及轴承座、轴承座垫块（带调整装置）、芯棒、底板等组成，可由机械传动组件驱动，与滚珠丝杆直线滑台配合实现工件的模拟加工，可完成主轴的轴向窜动、径向跳动的检测及调整实训。</w:t>
      </w:r>
    </w:p>
    <w:tbl>
      <w:tblPr>
        <w:tblStyle w:val="13"/>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5"/>
        <w:gridCol w:w="2202"/>
        <w:gridCol w:w="4140"/>
        <w:gridCol w:w="778"/>
        <w:gridCol w:w="7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13" w:type="pct"/>
            <w:vAlign w:val="center"/>
          </w:tcPr>
          <w:p>
            <w:pPr>
              <w:spacing w:line="360" w:lineRule="auto"/>
              <w:jc w:val="center"/>
              <w:rPr>
                <w:rFonts w:ascii="华文细黑" w:hAnsi="华文细黑" w:eastAsia="华文细黑" w:cs="华文细黑"/>
                <w:b/>
                <w:bCs/>
                <w:szCs w:val="21"/>
                <w:lang w:val="zh-CN"/>
              </w:rPr>
            </w:pPr>
            <w:r>
              <w:rPr>
                <w:rFonts w:hint="eastAsia" w:ascii="华文细黑" w:hAnsi="华文细黑" w:eastAsia="华文细黑" w:cs="华文细黑"/>
                <w:b/>
                <w:bCs/>
                <w:szCs w:val="21"/>
                <w:lang w:val="zh-CN"/>
              </w:rPr>
              <w:t>序号</w:t>
            </w:r>
          </w:p>
        </w:tc>
        <w:tc>
          <w:tcPr>
            <w:tcW w:w="1291" w:type="pct"/>
            <w:vAlign w:val="center"/>
          </w:tcPr>
          <w:p>
            <w:pPr>
              <w:spacing w:line="360" w:lineRule="auto"/>
              <w:jc w:val="center"/>
              <w:rPr>
                <w:rFonts w:ascii="华文细黑" w:hAnsi="华文细黑" w:eastAsia="华文细黑" w:cs="华文细黑"/>
                <w:b/>
                <w:bCs/>
                <w:szCs w:val="21"/>
                <w:lang w:val="zh-CN"/>
              </w:rPr>
            </w:pPr>
            <w:r>
              <w:rPr>
                <w:rFonts w:hint="eastAsia" w:ascii="华文细黑" w:hAnsi="华文细黑" w:eastAsia="华文细黑" w:cs="华文细黑"/>
                <w:b/>
                <w:bCs/>
                <w:szCs w:val="21"/>
                <w:lang w:val="zh-CN"/>
              </w:rPr>
              <w:t>名称</w:t>
            </w:r>
          </w:p>
        </w:tc>
        <w:tc>
          <w:tcPr>
            <w:tcW w:w="2427" w:type="pct"/>
            <w:vAlign w:val="center"/>
          </w:tcPr>
          <w:p>
            <w:pPr>
              <w:spacing w:line="360" w:lineRule="auto"/>
              <w:jc w:val="center"/>
              <w:rPr>
                <w:rFonts w:ascii="华文细黑" w:hAnsi="华文细黑" w:eastAsia="华文细黑" w:cs="华文细黑"/>
                <w:b/>
                <w:bCs/>
                <w:szCs w:val="21"/>
                <w:lang w:val="zh-CN"/>
              </w:rPr>
            </w:pPr>
            <w:r>
              <w:rPr>
                <w:rFonts w:hint="eastAsia" w:ascii="华文细黑" w:hAnsi="华文细黑" w:eastAsia="华文细黑" w:cs="华文细黑"/>
                <w:b/>
                <w:bCs/>
                <w:szCs w:val="21"/>
                <w:lang w:val="zh-CN"/>
              </w:rPr>
              <w:t>规格参数</w:t>
            </w:r>
          </w:p>
        </w:tc>
        <w:tc>
          <w:tcPr>
            <w:tcW w:w="456" w:type="pct"/>
            <w:vAlign w:val="center"/>
          </w:tcPr>
          <w:p>
            <w:pPr>
              <w:spacing w:line="360" w:lineRule="auto"/>
              <w:jc w:val="center"/>
              <w:rPr>
                <w:rFonts w:ascii="华文细黑" w:hAnsi="华文细黑" w:eastAsia="华文细黑" w:cs="华文细黑"/>
                <w:b/>
                <w:bCs/>
                <w:szCs w:val="21"/>
                <w:lang w:val="zh-CN"/>
              </w:rPr>
            </w:pPr>
            <w:r>
              <w:rPr>
                <w:rFonts w:hint="eastAsia" w:ascii="华文细黑" w:hAnsi="华文细黑" w:eastAsia="华文细黑" w:cs="华文细黑"/>
                <w:b/>
                <w:bCs/>
                <w:szCs w:val="21"/>
                <w:lang w:val="zh-CN"/>
              </w:rPr>
              <w:t>单位</w:t>
            </w:r>
          </w:p>
        </w:tc>
        <w:tc>
          <w:tcPr>
            <w:tcW w:w="410" w:type="pct"/>
            <w:vAlign w:val="center"/>
          </w:tcPr>
          <w:p>
            <w:pPr>
              <w:spacing w:line="360" w:lineRule="auto"/>
              <w:jc w:val="center"/>
              <w:rPr>
                <w:rFonts w:ascii="华文细黑" w:hAnsi="华文细黑" w:eastAsia="华文细黑" w:cs="华文细黑"/>
                <w:b/>
                <w:bCs/>
                <w:szCs w:val="21"/>
                <w:lang w:val="zh-CN"/>
              </w:rPr>
            </w:pPr>
            <w:r>
              <w:rPr>
                <w:rFonts w:hint="eastAsia" w:ascii="华文细黑" w:hAnsi="华文细黑" w:eastAsia="华文细黑" w:cs="华文细黑"/>
                <w:b/>
                <w:bCs/>
                <w:szCs w:val="21"/>
                <w:lang w:val="zh-CN"/>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13"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1</w:t>
            </w:r>
          </w:p>
        </w:tc>
        <w:tc>
          <w:tcPr>
            <w:tcW w:w="1291"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底板</w:t>
            </w:r>
          </w:p>
        </w:tc>
        <w:tc>
          <w:tcPr>
            <w:tcW w:w="2427"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180x210x12mm</w:t>
            </w:r>
          </w:p>
        </w:tc>
        <w:tc>
          <w:tcPr>
            <w:tcW w:w="456"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块</w:t>
            </w:r>
          </w:p>
        </w:tc>
        <w:tc>
          <w:tcPr>
            <w:tcW w:w="410"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13"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2</w:t>
            </w:r>
          </w:p>
        </w:tc>
        <w:tc>
          <w:tcPr>
            <w:tcW w:w="1291"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主轴</w:t>
            </w:r>
          </w:p>
        </w:tc>
        <w:tc>
          <w:tcPr>
            <w:tcW w:w="2427"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Ø32x202mm</w:t>
            </w:r>
          </w:p>
        </w:tc>
        <w:tc>
          <w:tcPr>
            <w:tcW w:w="456"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根</w:t>
            </w:r>
          </w:p>
        </w:tc>
        <w:tc>
          <w:tcPr>
            <w:tcW w:w="410"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13"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3</w:t>
            </w:r>
          </w:p>
        </w:tc>
        <w:tc>
          <w:tcPr>
            <w:tcW w:w="1291"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固定端轴承座</w:t>
            </w:r>
          </w:p>
        </w:tc>
        <w:tc>
          <w:tcPr>
            <w:tcW w:w="2427"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BK25</w:t>
            </w:r>
          </w:p>
        </w:tc>
        <w:tc>
          <w:tcPr>
            <w:tcW w:w="456"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个</w:t>
            </w:r>
          </w:p>
        </w:tc>
        <w:tc>
          <w:tcPr>
            <w:tcW w:w="410"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13"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4</w:t>
            </w:r>
          </w:p>
        </w:tc>
        <w:tc>
          <w:tcPr>
            <w:tcW w:w="1291"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活动端轴承座</w:t>
            </w:r>
          </w:p>
        </w:tc>
        <w:tc>
          <w:tcPr>
            <w:tcW w:w="2427"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BF25</w:t>
            </w:r>
          </w:p>
        </w:tc>
        <w:tc>
          <w:tcPr>
            <w:tcW w:w="456"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个</w:t>
            </w:r>
          </w:p>
        </w:tc>
        <w:tc>
          <w:tcPr>
            <w:tcW w:w="410"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13"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5</w:t>
            </w:r>
          </w:p>
        </w:tc>
        <w:tc>
          <w:tcPr>
            <w:tcW w:w="1291"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固定端轴承座垫块</w:t>
            </w:r>
          </w:p>
        </w:tc>
        <w:tc>
          <w:tcPr>
            <w:tcW w:w="2427"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160x42x75mm</w:t>
            </w:r>
          </w:p>
        </w:tc>
        <w:tc>
          <w:tcPr>
            <w:tcW w:w="456"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个</w:t>
            </w:r>
          </w:p>
        </w:tc>
        <w:tc>
          <w:tcPr>
            <w:tcW w:w="410"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13"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6</w:t>
            </w:r>
          </w:p>
        </w:tc>
        <w:tc>
          <w:tcPr>
            <w:tcW w:w="1291"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活动端轴承座垫块</w:t>
            </w:r>
          </w:p>
        </w:tc>
        <w:tc>
          <w:tcPr>
            <w:tcW w:w="2427"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160x30x75mm</w:t>
            </w:r>
          </w:p>
        </w:tc>
        <w:tc>
          <w:tcPr>
            <w:tcW w:w="456"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个</w:t>
            </w:r>
          </w:p>
        </w:tc>
        <w:tc>
          <w:tcPr>
            <w:tcW w:w="410"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13"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7</w:t>
            </w:r>
          </w:p>
        </w:tc>
        <w:tc>
          <w:tcPr>
            <w:tcW w:w="1291"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轴承座调整块</w:t>
            </w:r>
          </w:p>
        </w:tc>
        <w:tc>
          <w:tcPr>
            <w:tcW w:w="2427"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30x15x35mm</w:t>
            </w:r>
          </w:p>
        </w:tc>
        <w:tc>
          <w:tcPr>
            <w:tcW w:w="456"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个</w:t>
            </w:r>
          </w:p>
        </w:tc>
        <w:tc>
          <w:tcPr>
            <w:tcW w:w="410"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13"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8</w:t>
            </w:r>
          </w:p>
        </w:tc>
        <w:tc>
          <w:tcPr>
            <w:tcW w:w="1291"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三爪卡盘固定法兰</w:t>
            </w:r>
          </w:p>
        </w:tc>
        <w:tc>
          <w:tcPr>
            <w:tcW w:w="2427"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Ø80x45mm</w:t>
            </w:r>
          </w:p>
        </w:tc>
        <w:tc>
          <w:tcPr>
            <w:tcW w:w="456"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个</w:t>
            </w:r>
          </w:p>
        </w:tc>
        <w:tc>
          <w:tcPr>
            <w:tcW w:w="410"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13"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9</w:t>
            </w:r>
          </w:p>
        </w:tc>
        <w:tc>
          <w:tcPr>
            <w:tcW w:w="1291"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三爪卡盘</w:t>
            </w:r>
          </w:p>
        </w:tc>
        <w:tc>
          <w:tcPr>
            <w:tcW w:w="2427"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K11手动联动80mm</w:t>
            </w:r>
          </w:p>
        </w:tc>
        <w:tc>
          <w:tcPr>
            <w:tcW w:w="456"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个</w:t>
            </w:r>
          </w:p>
        </w:tc>
        <w:tc>
          <w:tcPr>
            <w:tcW w:w="410"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1</w:t>
            </w:r>
          </w:p>
        </w:tc>
      </w:tr>
    </w:tbl>
    <w:p>
      <w:pPr>
        <w:spacing w:line="360" w:lineRule="auto"/>
        <w:ind w:firstLine="480" w:firstLineChars="200"/>
        <w:outlineLvl w:val="1"/>
        <w:rPr>
          <w:rFonts w:ascii="华文细黑" w:hAnsi="华文细黑" w:eastAsia="华文细黑" w:cs="华文细黑"/>
          <w:sz w:val="24"/>
        </w:rPr>
      </w:pPr>
      <w:r>
        <w:rPr>
          <w:rFonts w:hint="eastAsia" w:ascii="Noto Sans Mono CJK JP Regular" w:hAnsi="Noto Sans Mono CJK JP Regular" w:eastAsia="华文细黑" w:cs="Noto Sans Mono CJK JP Regular"/>
          <w:kern w:val="0"/>
          <w:sz w:val="24"/>
        </w:rPr>
        <w:t>7.</w:t>
      </w:r>
      <w:r>
        <w:rPr>
          <w:rFonts w:hint="eastAsia" w:ascii="华文细黑" w:hAnsi="华文细黑" w:eastAsia="华文细黑" w:cs="华文细黑"/>
          <w:sz w:val="24"/>
        </w:rPr>
        <w:t>自动铣削加工工作站</w:t>
      </w:r>
    </w:p>
    <w:p>
      <w:pPr>
        <w:pStyle w:val="4"/>
        <w:spacing w:line="360" w:lineRule="auto"/>
        <w:rPr>
          <w:rFonts w:ascii="华文细黑" w:hAnsi="华文细黑" w:eastAsia="华文细黑" w:cs="华文细黑"/>
          <w:sz w:val="24"/>
        </w:rPr>
      </w:pPr>
      <w:r>
        <w:rPr>
          <w:rFonts w:hint="eastAsia" w:ascii="华文细黑" w:hAnsi="华文细黑" w:eastAsia="华文细黑" w:cs="华文细黑"/>
          <w:sz w:val="24"/>
        </w:rPr>
        <w:t xml:space="preserve">    主要由电磁离合器、万向联轴器、角接触球轴承、深沟球轴承、圆锥滚子轴承、滚珠丝杠副及直线导轨运动、锥齿轮副传动、花键轴传动、齿轮齿条传动、刀套、铣刀、料槽、自定心虎钳、工件、光电传感器、便携式吸尘器等组成，既可与传动系统配合实现零件的铣削加工，也可进行模块的装调实训。</w:t>
      </w:r>
    </w:p>
    <w:p>
      <w:pPr>
        <w:pStyle w:val="32"/>
        <w:spacing w:line="360" w:lineRule="auto"/>
        <w:ind w:firstLine="480" w:firstLineChars="200"/>
        <w:rPr>
          <w:rFonts w:ascii="华文细黑" w:hAnsi="华文细黑" w:eastAsia="华文细黑" w:cs="华文细黑"/>
          <w:color w:val="auto"/>
        </w:rPr>
      </w:pPr>
      <w:r>
        <w:rPr>
          <w:rFonts w:hint="eastAsia" w:ascii="华文细黑" w:hAnsi="华文细黑" w:eastAsia="华文细黑" w:cs="华文细黑"/>
          <w:color w:val="auto"/>
        </w:rPr>
        <w:t>主要配置如下：</w:t>
      </w:r>
    </w:p>
    <w:tbl>
      <w:tblPr>
        <w:tblStyle w:val="13"/>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94"/>
        <w:gridCol w:w="2210"/>
        <w:gridCol w:w="4142"/>
        <w:gridCol w:w="766"/>
        <w:gridCol w:w="7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07" w:type="pct"/>
            <w:vAlign w:val="center"/>
          </w:tcPr>
          <w:p>
            <w:pPr>
              <w:spacing w:line="360" w:lineRule="auto"/>
              <w:jc w:val="center"/>
              <w:rPr>
                <w:rFonts w:ascii="华文细黑" w:hAnsi="华文细黑" w:eastAsia="华文细黑" w:cs="华文细黑"/>
                <w:b/>
                <w:bCs/>
                <w:szCs w:val="21"/>
                <w:lang w:val="zh-CN"/>
              </w:rPr>
            </w:pPr>
            <w:r>
              <w:rPr>
                <w:rFonts w:hint="eastAsia" w:ascii="华文细黑" w:hAnsi="华文细黑" w:eastAsia="华文细黑" w:cs="华文细黑"/>
                <w:b/>
                <w:bCs/>
                <w:szCs w:val="21"/>
                <w:lang w:val="zh-CN"/>
              </w:rPr>
              <w:t>序号</w:t>
            </w:r>
          </w:p>
        </w:tc>
        <w:tc>
          <w:tcPr>
            <w:tcW w:w="1296" w:type="pct"/>
            <w:vAlign w:val="center"/>
          </w:tcPr>
          <w:p>
            <w:pPr>
              <w:spacing w:line="360" w:lineRule="auto"/>
              <w:jc w:val="center"/>
              <w:rPr>
                <w:rFonts w:ascii="华文细黑" w:hAnsi="华文细黑" w:eastAsia="华文细黑" w:cs="华文细黑"/>
                <w:b/>
                <w:bCs/>
                <w:szCs w:val="21"/>
                <w:lang w:val="zh-CN"/>
              </w:rPr>
            </w:pPr>
            <w:r>
              <w:rPr>
                <w:rFonts w:hint="eastAsia" w:ascii="华文细黑" w:hAnsi="华文细黑" w:eastAsia="华文细黑" w:cs="华文细黑"/>
                <w:b/>
                <w:bCs/>
                <w:szCs w:val="21"/>
                <w:lang w:val="zh-CN"/>
              </w:rPr>
              <w:t>名称</w:t>
            </w:r>
          </w:p>
        </w:tc>
        <w:tc>
          <w:tcPr>
            <w:tcW w:w="2429" w:type="pct"/>
            <w:vAlign w:val="center"/>
          </w:tcPr>
          <w:p>
            <w:pPr>
              <w:spacing w:line="360" w:lineRule="auto"/>
              <w:jc w:val="center"/>
              <w:rPr>
                <w:rFonts w:ascii="华文细黑" w:hAnsi="华文细黑" w:eastAsia="华文细黑" w:cs="华文细黑"/>
                <w:b/>
                <w:bCs/>
                <w:szCs w:val="21"/>
                <w:lang w:val="zh-CN"/>
              </w:rPr>
            </w:pPr>
            <w:r>
              <w:rPr>
                <w:rFonts w:hint="eastAsia" w:ascii="华文细黑" w:hAnsi="华文细黑" w:eastAsia="华文细黑" w:cs="华文细黑"/>
                <w:b/>
                <w:bCs/>
                <w:szCs w:val="21"/>
                <w:lang w:val="zh-CN"/>
              </w:rPr>
              <w:t>规格参数</w:t>
            </w:r>
          </w:p>
        </w:tc>
        <w:tc>
          <w:tcPr>
            <w:tcW w:w="449" w:type="pct"/>
            <w:vAlign w:val="center"/>
          </w:tcPr>
          <w:p>
            <w:pPr>
              <w:spacing w:line="360" w:lineRule="auto"/>
              <w:jc w:val="center"/>
              <w:rPr>
                <w:rFonts w:ascii="华文细黑" w:hAnsi="华文细黑" w:eastAsia="华文细黑" w:cs="华文细黑"/>
                <w:b/>
                <w:bCs/>
                <w:szCs w:val="21"/>
                <w:lang w:val="zh-CN"/>
              </w:rPr>
            </w:pPr>
            <w:r>
              <w:rPr>
                <w:rFonts w:hint="eastAsia" w:ascii="华文细黑" w:hAnsi="华文细黑" w:eastAsia="华文细黑" w:cs="华文细黑"/>
                <w:b/>
                <w:bCs/>
                <w:szCs w:val="21"/>
                <w:lang w:val="zh-CN"/>
              </w:rPr>
              <w:t>单位</w:t>
            </w:r>
          </w:p>
        </w:tc>
        <w:tc>
          <w:tcPr>
            <w:tcW w:w="417" w:type="pct"/>
            <w:vAlign w:val="center"/>
          </w:tcPr>
          <w:p>
            <w:pPr>
              <w:spacing w:line="360" w:lineRule="auto"/>
              <w:jc w:val="center"/>
              <w:rPr>
                <w:rFonts w:ascii="华文细黑" w:hAnsi="华文细黑" w:eastAsia="华文细黑" w:cs="华文细黑"/>
                <w:b/>
                <w:bCs/>
                <w:szCs w:val="21"/>
                <w:lang w:val="zh-CN"/>
              </w:rPr>
            </w:pPr>
            <w:r>
              <w:rPr>
                <w:rFonts w:hint="eastAsia" w:ascii="华文细黑" w:hAnsi="华文细黑" w:eastAsia="华文细黑" w:cs="华文细黑"/>
                <w:b/>
                <w:bCs/>
                <w:szCs w:val="21"/>
                <w:lang w:val="zh-CN"/>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jc w:val="center"/>
        </w:trPr>
        <w:tc>
          <w:tcPr>
            <w:tcW w:w="407"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1</w:t>
            </w:r>
          </w:p>
        </w:tc>
        <w:tc>
          <w:tcPr>
            <w:tcW w:w="1296"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电磁离合器</w:t>
            </w:r>
          </w:p>
        </w:tc>
        <w:tc>
          <w:tcPr>
            <w:tcW w:w="2429"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DLD6-20A</w:t>
            </w:r>
          </w:p>
        </w:tc>
        <w:tc>
          <w:tcPr>
            <w:tcW w:w="449"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个</w:t>
            </w:r>
          </w:p>
        </w:tc>
        <w:tc>
          <w:tcPr>
            <w:tcW w:w="417"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07"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2</w:t>
            </w:r>
          </w:p>
        </w:tc>
        <w:tc>
          <w:tcPr>
            <w:tcW w:w="1296"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万向联轴器</w:t>
            </w:r>
          </w:p>
        </w:tc>
        <w:tc>
          <w:tcPr>
            <w:tcW w:w="2429"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GD25x120-8-10</w:t>
            </w:r>
          </w:p>
        </w:tc>
        <w:tc>
          <w:tcPr>
            <w:tcW w:w="449"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个</w:t>
            </w:r>
          </w:p>
        </w:tc>
        <w:tc>
          <w:tcPr>
            <w:tcW w:w="417"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jc w:val="center"/>
        </w:trPr>
        <w:tc>
          <w:tcPr>
            <w:tcW w:w="407"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3</w:t>
            </w:r>
          </w:p>
        </w:tc>
        <w:tc>
          <w:tcPr>
            <w:tcW w:w="1296"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角接触球轴承</w:t>
            </w:r>
          </w:p>
        </w:tc>
        <w:tc>
          <w:tcPr>
            <w:tcW w:w="2429"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7004C/DB</w:t>
            </w:r>
          </w:p>
        </w:tc>
        <w:tc>
          <w:tcPr>
            <w:tcW w:w="449"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对</w:t>
            </w:r>
          </w:p>
        </w:tc>
        <w:tc>
          <w:tcPr>
            <w:tcW w:w="417"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07"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4</w:t>
            </w:r>
          </w:p>
        </w:tc>
        <w:tc>
          <w:tcPr>
            <w:tcW w:w="1296"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深沟球轴承</w:t>
            </w:r>
          </w:p>
        </w:tc>
        <w:tc>
          <w:tcPr>
            <w:tcW w:w="2429"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6001,6004</w:t>
            </w:r>
          </w:p>
        </w:tc>
        <w:tc>
          <w:tcPr>
            <w:tcW w:w="449"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个</w:t>
            </w:r>
          </w:p>
        </w:tc>
        <w:tc>
          <w:tcPr>
            <w:tcW w:w="417"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各1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jc w:val="center"/>
        </w:trPr>
        <w:tc>
          <w:tcPr>
            <w:tcW w:w="407"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5</w:t>
            </w:r>
          </w:p>
        </w:tc>
        <w:tc>
          <w:tcPr>
            <w:tcW w:w="1296"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圆锥滚子轴承</w:t>
            </w:r>
          </w:p>
        </w:tc>
        <w:tc>
          <w:tcPr>
            <w:tcW w:w="2429"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NSK 329/22,32904</w:t>
            </w:r>
          </w:p>
        </w:tc>
        <w:tc>
          <w:tcPr>
            <w:tcW w:w="449"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个</w:t>
            </w:r>
          </w:p>
        </w:tc>
        <w:tc>
          <w:tcPr>
            <w:tcW w:w="417"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各1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07"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6</w:t>
            </w:r>
          </w:p>
        </w:tc>
        <w:tc>
          <w:tcPr>
            <w:tcW w:w="1296"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滚珠丝杠副</w:t>
            </w:r>
          </w:p>
        </w:tc>
        <w:tc>
          <w:tcPr>
            <w:tcW w:w="2429"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1202-DFC7-291-P0-0.05</w:t>
            </w:r>
          </w:p>
        </w:tc>
        <w:tc>
          <w:tcPr>
            <w:tcW w:w="449"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副</w:t>
            </w:r>
          </w:p>
        </w:tc>
        <w:tc>
          <w:tcPr>
            <w:tcW w:w="417"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jc w:val="center"/>
        </w:trPr>
        <w:tc>
          <w:tcPr>
            <w:tcW w:w="407"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7</w:t>
            </w:r>
          </w:p>
        </w:tc>
        <w:tc>
          <w:tcPr>
            <w:tcW w:w="1296"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直线导轨副</w:t>
            </w:r>
          </w:p>
        </w:tc>
        <w:tc>
          <w:tcPr>
            <w:tcW w:w="2429"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MGN15C，一个滑块</w:t>
            </w:r>
          </w:p>
        </w:tc>
        <w:tc>
          <w:tcPr>
            <w:tcW w:w="449"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副</w:t>
            </w:r>
          </w:p>
        </w:tc>
        <w:tc>
          <w:tcPr>
            <w:tcW w:w="417"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07"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8</w:t>
            </w:r>
          </w:p>
        </w:tc>
        <w:tc>
          <w:tcPr>
            <w:tcW w:w="1296"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锥齿轮</w:t>
            </w:r>
          </w:p>
        </w:tc>
        <w:tc>
          <w:tcPr>
            <w:tcW w:w="2429"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m=2，Z=30，Z=50，内孔径d=14mm，配对</w:t>
            </w:r>
          </w:p>
        </w:tc>
        <w:tc>
          <w:tcPr>
            <w:tcW w:w="449"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对</w:t>
            </w:r>
          </w:p>
        </w:tc>
        <w:tc>
          <w:tcPr>
            <w:tcW w:w="417"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jc w:val="center"/>
        </w:trPr>
        <w:tc>
          <w:tcPr>
            <w:tcW w:w="407"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9</w:t>
            </w:r>
          </w:p>
        </w:tc>
        <w:tc>
          <w:tcPr>
            <w:tcW w:w="1296"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花键轴</w:t>
            </w:r>
          </w:p>
        </w:tc>
        <w:tc>
          <w:tcPr>
            <w:tcW w:w="2429"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Ø14x250mm</w:t>
            </w:r>
          </w:p>
        </w:tc>
        <w:tc>
          <w:tcPr>
            <w:tcW w:w="449"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根</w:t>
            </w:r>
          </w:p>
        </w:tc>
        <w:tc>
          <w:tcPr>
            <w:tcW w:w="417"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07"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10</w:t>
            </w:r>
          </w:p>
        </w:tc>
        <w:tc>
          <w:tcPr>
            <w:tcW w:w="1296"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齿轮</w:t>
            </w:r>
          </w:p>
        </w:tc>
        <w:tc>
          <w:tcPr>
            <w:tcW w:w="2429"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m=1，Z=25，内孔径d=14mm</w:t>
            </w:r>
          </w:p>
        </w:tc>
        <w:tc>
          <w:tcPr>
            <w:tcW w:w="449"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个</w:t>
            </w:r>
          </w:p>
        </w:tc>
        <w:tc>
          <w:tcPr>
            <w:tcW w:w="417"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jc w:val="center"/>
        </w:trPr>
        <w:tc>
          <w:tcPr>
            <w:tcW w:w="407"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11</w:t>
            </w:r>
          </w:p>
        </w:tc>
        <w:tc>
          <w:tcPr>
            <w:tcW w:w="1296"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齿条</w:t>
            </w:r>
          </w:p>
        </w:tc>
        <w:tc>
          <w:tcPr>
            <w:tcW w:w="2429"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m=1,Ø60x59mm</w:t>
            </w:r>
          </w:p>
        </w:tc>
        <w:tc>
          <w:tcPr>
            <w:tcW w:w="449"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个</w:t>
            </w:r>
          </w:p>
        </w:tc>
        <w:tc>
          <w:tcPr>
            <w:tcW w:w="417"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07"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12</w:t>
            </w:r>
          </w:p>
        </w:tc>
        <w:tc>
          <w:tcPr>
            <w:tcW w:w="1296"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刀套</w:t>
            </w:r>
          </w:p>
        </w:tc>
        <w:tc>
          <w:tcPr>
            <w:tcW w:w="2429"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ER16-16</w:t>
            </w:r>
          </w:p>
        </w:tc>
        <w:tc>
          <w:tcPr>
            <w:tcW w:w="449"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套</w:t>
            </w:r>
          </w:p>
        </w:tc>
        <w:tc>
          <w:tcPr>
            <w:tcW w:w="417"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jc w:val="center"/>
        </w:trPr>
        <w:tc>
          <w:tcPr>
            <w:tcW w:w="407"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13</w:t>
            </w:r>
          </w:p>
        </w:tc>
        <w:tc>
          <w:tcPr>
            <w:tcW w:w="1296"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铣刀</w:t>
            </w:r>
          </w:p>
        </w:tc>
        <w:tc>
          <w:tcPr>
            <w:tcW w:w="2429"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6x18x6Dx50</w:t>
            </w:r>
          </w:p>
        </w:tc>
        <w:tc>
          <w:tcPr>
            <w:tcW w:w="449"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把</w:t>
            </w:r>
          </w:p>
        </w:tc>
        <w:tc>
          <w:tcPr>
            <w:tcW w:w="417"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07"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14</w:t>
            </w:r>
          </w:p>
        </w:tc>
        <w:tc>
          <w:tcPr>
            <w:tcW w:w="1296"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料槽</w:t>
            </w:r>
          </w:p>
        </w:tc>
        <w:tc>
          <w:tcPr>
            <w:tcW w:w="2429"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120x194mm</w:t>
            </w:r>
          </w:p>
        </w:tc>
        <w:tc>
          <w:tcPr>
            <w:tcW w:w="449"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个</w:t>
            </w:r>
          </w:p>
        </w:tc>
        <w:tc>
          <w:tcPr>
            <w:tcW w:w="417"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jc w:val="center"/>
        </w:trPr>
        <w:tc>
          <w:tcPr>
            <w:tcW w:w="407"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15</w:t>
            </w:r>
          </w:p>
        </w:tc>
        <w:tc>
          <w:tcPr>
            <w:tcW w:w="1296"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自定心虎钳</w:t>
            </w:r>
          </w:p>
        </w:tc>
        <w:tc>
          <w:tcPr>
            <w:tcW w:w="2429"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H54，可夹持8—55mm，配虎钳扳手</w:t>
            </w:r>
          </w:p>
        </w:tc>
        <w:tc>
          <w:tcPr>
            <w:tcW w:w="449"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套</w:t>
            </w:r>
          </w:p>
        </w:tc>
        <w:tc>
          <w:tcPr>
            <w:tcW w:w="417"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07"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16</w:t>
            </w:r>
          </w:p>
        </w:tc>
        <w:tc>
          <w:tcPr>
            <w:tcW w:w="1296"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工件</w:t>
            </w:r>
          </w:p>
        </w:tc>
        <w:tc>
          <w:tcPr>
            <w:tcW w:w="2429"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54x30x15mm</w:t>
            </w:r>
          </w:p>
        </w:tc>
        <w:tc>
          <w:tcPr>
            <w:tcW w:w="449"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件</w:t>
            </w:r>
          </w:p>
        </w:tc>
        <w:tc>
          <w:tcPr>
            <w:tcW w:w="417"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jc w:val="center"/>
        </w:trPr>
        <w:tc>
          <w:tcPr>
            <w:tcW w:w="407"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17</w:t>
            </w:r>
          </w:p>
        </w:tc>
        <w:tc>
          <w:tcPr>
            <w:tcW w:w="1296"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光电传感器</w:t>
            </w:r>
          </w:p>
        </w:tc>
        <w:tc>
          <w:tcPr>
            <w:tcW w:w="2429"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674WR</w:t>
            </w:r>
          </w:p>
        </w:tc>
        <w:tc>
          <w:tcPr>
            <w:tcW w:w="449"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个</w:t>
            </w:r>
          </w:p>
        </w:tc>
        <w:tc>
          <w:tcPr>
            <w:tcW w:w="417"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07"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18</w:t>
            </w:r>
          </w:p>
        </w:tc>
        <w:tc>
          <w:tcPr>
            <w:tcW w:w="1296"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便携式吸尘器</w:t>
            </w:r>
          </w:p>
        </w:tc>
        <w:tc>
          <w:tcPr>
            <w:tcW w:w="2429"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超级快充，配套、加长软管、加长扁长嘴</w:t>
            </w:r>
          </w:p>
        </w:tc>
        <w:tc>
          <w:tcPr>
            <w:tcW w:w="449"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各</w:t>
            </w:r>
          </w:p>
        </w:tc>
        <w:tc>
          <w:tcPr>
            <w:tcW w:w="417"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jc w:val="center"/>
        </w:trPr>
        <w:tc>
          <w:tcPr>
            <w:tcW w:w="407"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19</w:t>
            </w:r>
          </w:p>
        </w:tc>
        <w:tc>
          <w:tcPr>
            <w:tcW w:w="1296"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装调套筒、滑块</w:t>
            </w:r>
          </w:p>
        </w:tc>
        <w:tc>
          <w:tcPr>
            <w:tcW w:w="2429"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与铣削加工模型配套</w:t>
            </w:r>
          </w:p>
        </w:tc>
        <w:tc>
          <w:tcPr>
            <w:tcW w:w="449"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套</w:t>
            </w:r>
          </w:p>
        </w:tc>
        <w:tc>
          <w:tcPr>
            <w:tcW w:w="417" w:type="pct"/>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1</w:t>
            </w:r>
          </w:p>
        </w:tc>
      </w:tr>
    </w:tbl>
    <w:p>
      <w:pPr>
        <w:widowControl/>
        <w:spacing w:line="360" w:lineRule="auto"/>
        <w:ind w:firstLine="480" w:firstLineChars="200"/>
        <w:outlineLvl w:val="1"/>
        <w:rPr>
          <w:rFonts w:ascii="华文细黑" w:hAnsi="华文细黑" w:eastAsia="华文细黑" w:cs="华文细黑"/>
          <w:bCs/>
          <w:color w:val="000000"/>
          <w:sz w:val="24"/>
        </w:rPr>
      </w:pPr>
      <w:r>
        <w:rPr>
          <w:rFonts w:hint="eastAsia" w:ascii="Noto Sans Mono CJK JP Regular" w:hAnsi="Noto Sans Mono CJK JP Regular" w:eastAsia="华文细黑" w:cs="Noto Sans Mono CJK JP Regular"/>
          <w:kern w:val="0"/>
          <w:sz w:val="24"/>
        </w:rPr>
        <w:t>8</w:t>
      </w:r>
      <w:r>
        <w:rPr>
          <w:rFonts w:hint="eastAsia" w:ascii="华文细黑" w:hAnsi="华文细黑" w:eastAsia="华文细黑" w:cs="华文细黑"/>
          <w:bCs/>
          <w:color w:val="000000"/>
          <w:sz w:val="24"/>
        </w:rPr>
        <w:t>.三维组合安装部件</w:t>
      </w:r>
    </w:p>
    <w:p>
      <w:pPr>
        <w:pStyle w:val="4"/>
        <w:spacing w:line="360" w:lineRule="auto"/>
        <w:jc w:val="left"/>
        <w:rPr>
          <w:rFonts w:ascii="华文细黑" w:hAnsi="华文细黑" w:eastAsia="华文细黑" w:cs="华文细黑"/>
          <w:sz w:val="24"/>
        </w:rPr>
      </w:pPr>
      <w:r>
        <w:rPr>
          <w:rFonts w:hint="eastAsia" w:ascii="华文细黑" w:hAnsi="华文细黑" w:eastAsia="华文细黑" w:cs="华文细黑"/>
          <w:sz w:val="24"/>
        </w:rPr>
        <w:t xml:space="preserve">    整体采用7系铝合金焊接箱式结构，壁厚15mm，箱体满足立式和卧式两种安装方式，配有箱体垫高块，内部可以搭建多组齿轮传动或一组蜗轮蜗杆传动，模块四个安装面（前、后、左、右）均设有轴承座安装固定槽，相关轴可以从固定槽的轴承中伸出，轴末端根据任务要求可安装带轮、齿轮、链轮等，可和其他模块组合成带传动、链传动、齿轮传动等形式。</w:t>
      </w:r>
    </w:p>
    <w:tbl>
      <w:tblPr>
        <w:tblStyle w:val="13"/>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94"/>
        <w:gridCol w:w="1894"/>
        <w:gridCol w:w="4433"/>
        <w:gridCol w:w="800"/>
        <w:gridCol w:w="7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07" w:type="pct"/>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华文细黑" w:hAnsi="华文细黑" w:eastAsia="华文细黑" w:cs="华文细黑"/>
                <w:b/>
                <w:bCs/>
                <w:szCs w:val="21"/>
                <w:lang w:val="zh-CN"/>
              </w:rPr>
            </w:pPr>
            <w:r>
              <w:rPr>
                <w:rFonts w:hint="eastAsia" w:ascii="华文细黑" w:hAnsi="华文细黑" w:eastAsia="华文细黑" w:cs="华文细黑"/>
                <w:b/>
                <w:bCs/>
                <w:szCs w:val="21"/>
                <w:lang w:val="zh-CN"/>
              </w:rPr>
              <w:t>序号</w:t>
            </w:r>
          </w:p>
        </w:tc>
        <w:tc>
          <w:tcPr>
            <w:tcW w:w="1111" w:type="pct"/>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华文细黑" w:hAnsi="华文细黑" w:eastAsia="华文细黑" w:cs="华文细黑"/>
                <w:b/>
                <w:bCs/>
                <w:szCs w:val="21"/>
                <w:lang w:val="zh-CN"/>
              </w:rPr>
            </w:pPr>
            <w:r>
              <w:rPr>
                <w:rFonts w:hint="eastAsia" w:ascii="华文细黑" w:hAnsi="华文细黑" w:eastAsia="华文细黑" w:cs="华文细黑"/>
                <w:b/>
                <w:bCs/>
                <w:szCs w:val="21"/>
                <w:lang w:val="zh-CN"/>
              </w:rPr>
              <w:t>名称</w:t>
            </w:r>
          </w:p>
        </w:tc>
        <w:tc>
          <w:tcPr>
            <w:tcW w:w="2600" w:type="pct"/>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华文细黑" w:hAnsi="华文细黑" w:eastAsia="华文细黑" w:cs="华文细黑"/>
                <w:b/>
                <w:bCs/>
                <w:szCs w:val="21"/>
                <w:lang w:val="zh-CN"/>
              </w:rPr>
            </w:pPr>
            <w:r>
              <w:rPr>
                <w:rFonts w:hint="eastAsia" w:ascii="华文细黑" w:hAnsi="华文细黑" w:eastAsia="华文细黑" w:cs="华文细黑"/>
                <w:b/>
                <w:bCs/>
                <w:szCs w:val="21"/>
                <w:lang w:val="zh-CN"/>
              </w:rPr>
              <w:t>规格参数</w:t>
            </w:r>
          </w:p>
        </w:tc>
        <w:tc>
          <w:tcPr>
            <w:tcW w:w="469" w:type="pct"/>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华文细黑" w:hAnsi="华文细黑" w:eastAsia="华文细黑" w:cs="华文细黑"/>
                <w:b/>
                <w:bCs/>
                <w:szCs w:val="21"/>
                <w:lang w:val="zh-CN"/>
              </w:rPr>
            </w:pPr>
            <w:r>
              <w:rPr>
                <w:rFonts w:hint="eastAsia" w:ascii="华文细黑" w:hAnsi="华文细黑" w:eastAsia="华文细黑" w:cs="华文细黑"/>
                <w:b/>
                <w:bCs/>
                <w:szCs w:val="21"/>
                <w:lang w:val="zh-CN"/>
              </w:rPr>
              <w:t>单位</w:t>
            </w:r>
          </w:p>
        </w:tc>
        <w:tc>
          <w:tcPr>
            <w:tcW w:w="412" w:type="pct"/>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华文细黑" w:hAnsi="华文细黑" w:eastAsia="华文细黑" w:cs="华文细黑"/>
                <w:b/>
                <w:bCs/>
                <w:szCs w:val="21"/>
                <w:lang w:val="zh-CN"/>
              </w:rPr>
            </w:pPr>
            <w:r>
              <w:rPr>
                <w:rFonts w:hint="eastAsia" w:ascii="华文细黑" w:hAnsi="华文细黑" w:eastAsia="华文细黑" w:cs="华文细黑"/>
                <w:b/>
                <w:bCs/>
                <w:szCs w:val="21"/>
                <w:lang w:val="zh-CN"/>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07" w:type="pct"/>
            <w:tcBorders>
              <w:top w:val="single" w:color="auto" w:sz="4" w:space="0"/>
              <w:left w:val="single" w:color="auto" w:sz="4" w:space="0"/>
              <w:bottom w:val="single" w:color="auto" w:sz="4" w:space="0"/>
              <w:right w:val="single" w:color="auto" w:sz="4" w:space="0"/>
            </w:tcBorders>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1</w:t>
            </w:r>
          </w:p>
        </w:tc>
        <w:tc>
          <w:tcPr>
            <w:tcW w:w="1111" w:type="pct"/>
            <w:tcBorders>
              <w:top w:val="single" w:color="auto" w:sz="4" w:space="0"/>
              <w:left w:val="single" w:color="auto" w:sz="4" w:space="0"/>
              <w:bottom w:val="single" w:color="auto" w:sz="4" w:space="0"/>
              <w:right w:val="single" w:color="auto" w:sz="4" w:space="0"/>
            </w:tcBorders>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小箱体</w:t>
            </w:r>
          </w:p>
        </w:tc>
        <w:tc>
          <w:tcPr>
            <w:tcW w:w="2600" w:type="pct"/>
            <w:tcBorders>
              <w:top w:val="single" w:color="auto" w:sz="4" w:space="0"/>
              <w:left w:val="single" w:color="auto" w:sz="4" w:space="0"/>
              <w:bottom w:val="single" w:color="auto" w:sz="4" w:space="0"/>
              <w:right w:val="single" w:color="auto" w:sz="4" w:space="0"/>
            </w:tcBorders>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120x80x320mm，7系铝合金材质</w:t>
            </w:r>
          </w:p>
        </w:tc>
        <w:tc>
          <w:tcPr>
            <w:tcW w:w="469" w:type="pct"/>
            <w:tcBorders>
              <w:top w:val="single" w:color="auto" w:sz="4" w:space="0"/>
              <w:left w:val="single" w:color="auto" w:sz="4" w:space="0"/>
              <w:bottom w:val="single" w:color="auto" w:sz="4" w:space="0"/>
              <w:right w:val="single" w:color="auto" w:sz="4" w:space="0"/>
            </w:tcBorders>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套</w:t>
            </w:r>
          </w:p>
        </w:tc>
        <w:tc>
          <w:tcPr>
            <w:tcW w:w="412" w:type="pct"/>
            <w:tcBorders>
              <w:top w:val="single" w:color="auto" w:sz="4" w:space="0"/>
              <w:left w:val="single" w:color="auto" w:sz="4" w:space="0"/>
              <w:bottom w:val="single" w:color="auto" w:sz="4" w:space="0"/>
              <w:right w:val="single" w:color="auto" w:sz="4" w:space="0"/>
            </w:tcBorders>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07" w:type="pct"/>
            <w:tcBorders>
              <w:top w:val="single" w:color="auto" w:sz="4" w:space="0"/>
              <w:left w:val="single" w:color="auto" w:sz="4" w:space="0"/>
              <w:bottom w:val="single" w:color="auto" w:sz="4" w:space="0"/>
              <w:right w:val="single" w:color="auto" w:sz="4" w:space="0"/>
            </w:tcBorders>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2</w:t>
            </w:r>
          </w:p>
        </w:tc>
        <w:tc>
          <w:tcPr>
            <w:tcW w:w="1111" w:type="pct"/>
            <w:tcBorders>
              <w:top w:val="single" w:color="auto" w:sz="4" w:space="0"/>
              <w:left w:val="single" w:color="auto" w:sz="4" w:space="0"/>
              <w:bottom w:val="single" w:color="auto" w:sz="4" w:space="0"/>
              <w:right w:val="single" w:color="auto" w:sz="4" w:space="0"/>
            </w:tcBorders>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大箱体</w:t>
            </w:r>
          </w:p>
        </w:tc>
        <w:tc>
          <w:tcPr>
            <w:tcW w:w="2600" w:type="pct"/>
            <w:tcBorders>
              <w:top w:val="single" w:color="auto" w:sz="4" w:space="0"/>
              <w:left w:val="single" w:color="auto" w:sz="4" w:space="0"/>
              <w:bottom w:val="single" w:color="auto" w:sz="4" w:space="0"/>
              <w:right w:val="single" w:color="auto" w:sz="4" w:space="0"/>
            </w:tcBorders>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220x265x308mm，7系铝合金材质</w:t>
            </w:r>
          </w:p>
        </w:tc>
        <w:tc>
          <w:tcPr>
            <w:tcW w:w="469" w:type="pct"/>
            <w:tcBorders>
              <w:top w:val="single" w:color="auto" w:sz="4" w:space="0"/>
              <w:left w:val="single" w:color="auto" w:sz="4" w:space="0"/>
              <w:bottom w:val="single" w:color="auto" w:sz="4" w:space="0"/>
              <w:right w:val="single" w:color="auto" w:sz="4" w:space="0"/>
            </w:tcBorders>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套</w:t>
            </w:r>
          </w:p>
        </w:tc>
        <w:tc>
          <w:tcPr>
            <w:tcW w:w="412" w:type="pct"/>
            <w:tcBorders>
              <w:top w:val="single" w:color="auto" w:sz="4" w:space="0"/>
              <w:left w:val="single" w:color="auto" w:sz="4" w:space="0"/>
              <w:bottom w:val="single" w:color="auto" w:sz="4" w:space="0"/>
              <w:right w:val="single" w:color="auto" w:sz="4" w:space="0"/>
            </w:tcBorders>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07" w:type="pct"/>
            <w:tcBorders>
              <w:top w:val="single" w:color="auto" w:sz="4" w:space="0"/>
              <w:left w:val="single" w:color="auto" w:sz="4" w:space="0"/>
              <w:bottom w:val="single" w:color="auto" w:sz="4" w:space="0"/>
              <w:right w:val="single" w:color="auto" w:sz="4" w:space="0"/>
            </w:tcBorders>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3</w:t>
            </w:r>
          </w:p>
        </w:tc>
        <w:tc>
          <w:tcPr>
            <w:tcW w:w="1111" w:type="pct"/>
            <w:tcBorders>
              <w:top w:val="single" w:color="auto" w:sz="4" w:space="0"/>
              <w:left w:val="single" w:color="auto" w:sz="4" w:space="0"/>
              <w:bottom w:val="single" w:color="auto" w:sz="4" w:space="0"/>
              <w:right w:val="single" w:color="auto" w:sz="4" w:space="0"/>
            </w:tcBorders>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箱体轴承座</w:t>
            </w:r>
          </w:p>
        </w:tc>
        <w:tc>
          <w:tcPr>
            <w:tcW w:w="2600" w:type="pct"/>
            <w:tcBorders>
              <w:top w:val="single" w:color="auto" w:sz="4" w:space="0"/>
              <w:left w:val="single" w:color="auto" w:sz="4" w:space="0"/>
              <w:bottom w:val="single" w:color="auto" w:sz="4" w:space="0"/>
              <w:right w:val="single" w:color="auto" w:sz="4" w:space="0"/>
            </w:tcBorders>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Ø75x47x18mm，CK004，7系铝合金材质</w:t>
            </w:r>
          </w:p>
        </w:tc>
        <w:tc>
          <w:tcPr>
            <w:tcW w:w="469" w:type="pct"/>
            <w:tcBorders>
              <w:top w:val="single" w:color="auto" w:sz="4" w:space="0"/>
              <w:left w:val="single" w:color="auto" w:sz="4" w:space="0"/>
              <w:bottom w:val="single" w:color="auto" w:sz="4" w:space="0"/>
              <w:right w:val="single" w:color="auto" w:sz="4" w:space="0"/>
            </w:tcBorders>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套</w:t>
            </w:r>
          </w:p>
        </w:tc>
        <w:tc>
          <w:tcPr>
            <w:tcW w:w="412" w:type="pct"/>
            <w:tcBorders>
              <w:top w:val="single" w:color="auto" w:sz="4" w:space="0"/>
              <w:left w:val="single" w:color="auto" w:sz="4" w:space="0"/>
              <w:bottom w:val="single" w:color="auto" w:sz="4" w:space="0"/>
              <w:right w:val="single" w:color="auto" w:sz="4" w:space="0"/>
            </w:tcBorders>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07" w:type="pct"/>
            <w:tcBorders>
              <w:top w:val="single" w:color="auto" w:sz="4" w:space="0"/>
              <w:left w:val="single" w:color="auto" w:sz="4" w:space="0"/>
              <w:bottom w:val="single" w:color="auto" w:sz="4" w:space="0"/>
              <w:right w:val="single" w:color="auto" w:sz="4" w:space="0"/>
            </w:tcBorders>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4</w:t>
            </w:r>
          </w:p>
        </w:tc>
        <w:tc>
          <w:tcPr>
            <w:tcW w:w="1111" w:type="pct"/>
            <w:tcBorders>
              <w:top w:val="single" w:color="auto" w:sz="4" w:space="0"/>
              <w:left w:val="single" w:color="auto" w:sz="4" w:space="0"/>
              <w:bottom w:val="single" w:color="auto" w:sz="4" w:space="0"/>
              <w:right w:val="single" w:color="auto" w:sz="4" w:space="0"/>
            </w:tcBorders>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轴承安装套筒</w:t>
            </w:r>
          </w:p>
        </w:tc>
        <w:tc>
          <w:tcPr>
            <w:tcW w:w="2600" w:type="pct"/>
            <w:tcBorders>
              <w:top w:val="single" w:color="auto" w:sz="4" w:space="0"/>
              <w:left w:val="single" w:color="auto" w:sz="4" w:space="0"/>
              <w:bottom w:val="single" w:color="auto" w:sz="4" w:space="0"/>
              <w:right w:val="single" w:color="auto" w:sz="4" w:space="0"/>
            </w:tcBorders>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Ø25xØ41.5x100mm</w:t>
            </w:r>
          </w:p>
        </w:tc>
        <w:tc>
          <w:tcPr>
            <w:tcW w:w="469" w:type="pct"/>
            <w:tcBorders>
              <w:top w:val="single" w:color="auto" w:sz="4" w:space="0"/>
              <w:left w:val="single" w:color="auto" w:sz="4" w:space="0"/>
              <w:bottom w:val="single" w:color="auto" w:sz="4" w:space="0"/>
              <w:right w:val="single" w:color="auto" w:sz="4" w:space="0"/>
            </w:tcBorders>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件</w:t>
            </w:r>
          </w:p>
        </w:tc>
        <w:tc>
          <w:tcPr>
            <w:tcW w:w="412" w:type="pct"/>
            <w:tcBorders>
              <w:top w:val="single" w:color="auto" w:sz="4" w:space="0"/>
              <w:left w:val="single" w:color="auto" w:sz="4" w:space="0"/>
              <w:bottom w:val="single" w:color="auto" w:sz="4" w:space="0"/>
              <w:right w:val="single" w:color="auto" w:sz="4" w:space="0"/>
            </w:tcBorders>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07" w:type="pct"/>
            <w:tcBorders>
              <w:top w:val="single" w:color="auto" w:sz="4" w:space="0"/>
              <w:left w:val="single" w:color="auto" w:sz="4" w:space="0"/>
              <w:bottom w:val="single" w:color="auto" w:sz="4" w:space="0"/>
              <w:right w:val="single" w:color="auto" w:sz="4" w:space="0"/>
            </w:tcBorders>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5</w:t>
            </w:r>
          </w:p>
        </w:tc>
        <w:tc>
          <w:tcPr>
            <w:tcW w:w="1111" w:type="pct"/>
            <w:tcBorders>
              <w:top w:val="single" w:color="auto" w:sz="4" w:space="0"/>
              <w:left w:val="single" w:color="auto" w:sz="4" w:space="0"/>
              <w:bottom w:val="single" w:color="auto" w:sz="4" w:space="0"/>
              <w:right w:val="single" w:color="auto" w:sz="4" w:space="0"/>
            </w:tcBorders>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箱体垫高块</w:t>
            </w:r>
          </w:p>
        </w:tc>
        <w:tc>
          <w:tcPr>
            <w:tcW w:w="2600" w:type="pct"/>
            <w:tcBorders>
              <w:top w:val="single" w:color="auto" w:sz="4" w:space="0"/>
              <w:left w:val="single" w:color="auto" w:sz="4" w:space="0"/>
              <w:bottom w:val="single" w:color="auto" w:sz="4" w:space="0"/>
              <w:right w:val="single" w:color="auto" w:sz="4" w:space="0"/>
            </w:tcBorders>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170x30x50.3mm，7系铝合金材质</w:t>
            </w:r>
          </w:p>
        </w:tc>
        <w:tc>
          <w:tcPr>
            <w:tcW w:w="469" w:type="pct"/>
            <w:tcBorders>
              <w:top w:val="single" w:color="auto" w:sz="4" w:space="0"/>
              <w:left w:val="single" w:color="auto" w:sz="4" w:space="0"/>
              <w:bottom w:val="single" w:color="auto" w:sz="4" w:space="0"/>
              <w:right w:val="single" w:color="auto" w:sz="4" w:space="0"/>
            </w:tcBorders>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个</w:t>
            </w:r>
          </w:p>
        </w:tc>
        <w:tc>
          <w:tcPr>
            <w:tcW w:w="412" w:type="pct"/>
            <w:tcBorders>
              <w:top w:val="single" w:color="auto" w:sz="4" w:space="0"/>
              <w:left w:val="single" w:color="auto" w:sz="4" w:space="0"/>
              <w:bottom w:val="single" w:color="auto" w:sz="4" w:space="0"/>
              <w:right w:val="single" w:color="auto" w:sz="4" w:space="0"/>
            </w:tcBorders>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07" w:type="pct"/>
            <w:tcBorders>
              <w:top w:val="single" w:color="auto" w:sz="4" w:space="0"/>
              <w:left w:val="single" w:color="auto" w:sz="4" w:space="0"/>
              <w:bottom w:val="single" w:color="auto" w:sz="4" w:space="0"/>
              <w:right w:val="single" w:color="auto" w:sz="4" w:space="0"/>
            </w:tcBorders>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6</w:t>
            </w:r>
          </w:p>
        </w:tc>
        <w:tc>
          <w:tcPr>
            <w:tcW w:w="1111" w:type="pct"/>
            <w:tcBorders>
              <w:top w:val="single" w:color="auto" w:sz="4" w:space="0"/>
              <w:left w:val="single" w:color="auto" w:sz="4" w:space="0"/>
              <w:bottom w:val="single" w:color="auto" w:sz="4" w:space="0"/>
              <w:right w:val="single" w:color="auto" w:sz="4" w:space="0"/>
            </w:tcBorders>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小箱体转接板</w:t>
            </w:r>
          </w:p>
        </w:tc>
        <w:tc>
          <w:tcPr>
            <w:tcW w:w="2600" w:type="pct"/>
            <w:tcBorders>
              <w:top w:val="single" w:color="auto" w:sz="4" w:space="0"/>
              <w:left w:val="single" w:color="auto" w:sz="4" w:space="0"/>
              <w:bottom w:val="single" w:color="auto" w:sz="4" w:space="0"/>
              <w:right w:val="single" w:color="auto" w:sz="4" w:space="0"/>
            </w:tcBorders>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180x120x20mm，7系铝合金材质</w:t>
            </w:r>
          </w:p>
        </w:tc>
        <w:tc>
          <w:tcPr>
            <w:tcW w:w="469" w:type="pct"/>
            <w:tcBorders>
              <w:top w:val="single" w:color="auto" w:sz="4" w:space="0"/>
              <w:left w:val="single" w:color="auto" w:sz="4" w:space="0"/>
              <w:bottom w:val="single" w:color="auto" w:sz="4" w:space="0"/>
              <w:right w:val="single" w:color="auto" w:sz="4" w:space="0"/>
            </w:tcBorders>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件</w:t>
            </w:r>
          </w:p>
        </w:tc>
        <w:tc>
          <w:tcPr>
            <w:tcW w:w="412" w:type="pct"/>
            <w:tcBorders>
              <w:top w:val="single" w:color="auto" w:sz="4" w:space="0"/>
              <w:left w:val="single" w:color="auto" w:sz="4" w:space="0"/>
              <w:bottom w:val="single" w:color="auto" w:sz="4" w:space="0"/>
              <w:right w:val="single" w:color="auto" w:sz="4" w:space="0"/>
            </w:tcBorders>
            <w:vAlign w:val="center"/>
          </w:tcPr>
          <w:p>
            <w:pPr>
              <w:pStyle w:val="4"/>
              <w:spacing w:line="360" w:lineRule="auto"/>
              <w:rPr>
                <w:rFonts w:ascii="华文细黑" w:hAnsi="华文细黑" w:eastAsia="华文细黑" w:cs="华文细黑"/>
                <w:szCs w:val="21"/>
                <w:lang w:val="zh-CN"/>
              </w:rPr>
            </w:pPr>
            <w:r>
              <w:rPr>
                <w:rFonts w:hint="eastAsia" w:ascii="华文细黑" w:hAnsi="华文细黑" w:eastAsia="华文细黑" w:cs="华文细黑"/>
                <w:szCs w:val="21"/>
                <w:lang w:val="zh-CN"/>
              </w:rPr>
              <w:t>1</w:t>
            </w:r>
          </w:p>
        </w:tc>
      </w:tr>
    </w:tbl>
    <w:p>
      <w:pPr>
        <w:widowControl/>
        <w:spacing w:line="360" w:lineRule="auto"/>
        <w:ind w:firstLine="480" w:firstLineChars="200"/>
        <w:outlineLvl w:val="1"/>
        <w:rPr>
          <w:rFonts w:ascii="华文细黑" w:hAnsi="华文细黑" w:eastAsia="华文细黑" w:cs="华文细黑"/>
          <w:bCs/>
          <w:color w:val="000000"/>
          <w:sz w:val="24"/>
        </w:rPr>
      </w:pPr>
      <w:r>
        <w:rPr>
          <w:rFonts w:hint="eastAsia" w:ascii="Noto Sans Mono CJK JP Regular" w:hAnsi="Noto Sans Mono CJK JP Regular" w:eastAsia="华文细黑" w:cs="Noto Sans Mono CJK JP Regular"/>
          <w:kern w:val="0"/>
          <w:sz w:val="24"/>
        </w:rPr>
        <w:t>9.</w:t>
      </w:r>
      <w:r>
        <w:rPr>
          <w:rFonts w:hint="eastAsia" w:ascii="华文细黑" w:hAnsi="华文细黑" w:eastAsia="华文细黑" w:cs="华文细黑"/>
          <w:bCs/>
          <w:color w:val="000000"/>
          <w:sz w:val="24"/>
        </w:rPr>
        <w:t xml:space="preserve">配件（含工具及量具） </w:t>
      </w:r>
    </w:p>
    <w:p>
      <w:pPr>
        <w:pStyle w:val="4"/>
        <w:spacing w:line="360" w:lineRule="auto"/>
        <w:jc w:val="left"/>
        <w:rPr>
          <w:rFonts w:ascii="华文细黑" w:hAnsi="华文细黑" w:eastAsia="华文细黑" w:cs="华文细黑"/>
          <w:sz w:val="24"/>
          <w:lang w:bidi="ar"/>
        </w:rPr>
      </w:pPr>
      <w:r>
        <w:rPr>
          <w:rFonts w:hint="eastAsia" w:ascii="华文细黑" w:hAnsi="华文细黑" w:eastAsia="华文细黑" w:cs="华文细黑"/>
          <w:sz w:val="24"/>
          <w:lang w:bidi="ar"/>
        </w:rPr>
        <w:t xml:space="preserve">    主要工具有橡胶锤、铁锤、紫铜棒、内六角扳手、扭力扳手、皮带扳手、活扳手等；主要量具有钢直尺、卷尺、数显游标卡尺、百分表（带万向磁力表座）、塞尺、笔式皮带张力计等。</w:t>
      </w:r>
    </w:p>
    <w:p>
      <w:pPr>
        <w:widowControl/>
        <w:spacing w:line="360" w:lineRule="auto"/>
        <w:ind w:firstLine="480" w:firstLineChars="200"/>
        <w:outlineLvl w:val="1"/>
        <w:rPr>
          <w:rFonts w:ascii="华文细黑" w:hAnsi="华文细黑" w:eastAsia="华文细黑" w:cs="华文细黑"/>
          <w:bCs/>
          <w:color w:val="000000"/>
          <w:sz w:val="24"/>
        </w:rPr>
      </w:pPr>
      <w:r>
        <w:rPr>
          <w:rFonts w:hint="eastAsia" w:ascii="Noto Sans Mono CJK JP Regular" w:hAnsi="Noto Sans Mono CJK JP Regular" w:eastAsia="华文细黑" w:cs="Noto Sans Mono CJK JP Regular"/>
          <w:kern w:val="0"/>
          <w:sz w:val="24"/>
        </w:rPr>
        <w:t>10.</w:t>
      </w:r>
      <w:r>
        <w:rPr>
          <w:rFonts w:hint="eastAsia" w:ascii="华文细黑" w:hAnsi="华文细黑" w:eastAsia="华文细黑" w:cs="华文细黑"/>
          <w:bCs/>
          <w:color w:val="000000"/>
          <w:sz w:val="24"/>
        </w:rPr>
        <w:t>钳工操作台</w:t>
      </w:r>
    </w:p>
    <w:p>
      <w:pPr>
        <w:spacing w:line="360" w:lineRule="auto"/>
        <w:ind w:firstLine="480" w:firstLineChars="200"/>
        <w:jc w:val="left"/>
        <w:rPr>
          <w:rFonts w:ascii="华文细黑" w:hAnsi="华文细黑" w:eastAsia="华文细黑" w:cs="华文细黑"/>
          <w:color w:val="000000"/>
          <w:sz w:val="24"/>
          <w:lang w:bidi="ar"/>
        </w:rPr>
      </w:pPr>
      <w:r>
        <w:rPr>
          <w:rFonts w:hint="eastAsia" w:ascii="华文细黑" w:hAnsi="华文细黑" w:eastAsia="华文细黑" w:cs="华文细黑"/>
          <w:color w:val="000000"/>
          <w:sz w:val="24"/>
          <w:lang w:bidi="ar"/>
        </w:rPr>
        <w:t>（1）外形尺寸：1120×720×1600mm。</w:t>
      </w:r>
    </w:p>
    <w:p>
      <w:pPr>
        <w:spacing w:line="360" w:lineRule="auto"/>
        <w:ind w:firstLine="480" w:firstLineChars="200"/>
        <w:jc w:val="left"/>
        <w:rPr>
          <w:rFonts w:ascii="黑体" w:hAnsi="黑体" w:eastAsia="黑体" w:cs="黑体"/>
          <w:b/>
          <w:bCs/>
          <w:sz w:val="30"/>
          <w:szCs w:val="30"/>
        </w:rPr>
      </w:pPr>
      <w:r>
        <w:rPr>
          <w:rFonts w:hint="eastAsia" w:ascii="华文细黑" w:hAnsi="华文细黑" w:eastAsia="华文细黑" w:cs="华文细黑"/>
          <w:color w:val="000000"/>
          <w:sz w:val="24"/>
          <w:lang w:bidi="ar"/>
        </w:rPr>
        <w:t>（2）安装有6寸重型台虎钳，开口度152mm，净重29kg，夹紧力3000kg</w:t>
      </w:r>
      <w:r>
        <w:rPr>
          <w:rFonts w:hint="eastAsia" w:ascii="华文细黑" w:hAnsi="华文细黑" w:eastAsia="华文细黑" w:cs="华文细黑"/>
          <w:color w:val="000000"/>
          <w:lang w:bidi="ar"/>
        </w:rPr>
        <w:t>。</w:t>
      </w:r>
    </w:p>
    <w:sectPr>
      <w:footerReference r:id="rId3" w:type="default"/>
      <w:footerReference r:id="rId4" w:type="even"/>
      <w:pgSz w:w="11906" w:h="16838"/>
      <w:pgMar w:top="1440" w:right="1797" w:bottom="1440" w:left="1797" w:header="851" w:footer="992" w:gutter="0"/>
      <w:pgNumType w:start="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华文新魏">
    <w:panose1 w:val="02010800040101010101"/>
    <w:charset w:val="86"/>
    <w:family w:val="auto"/>
    <w:pitch w:val="default"/>
    <w:sig w:usb0="00000001" w:usb1="080F0000" w:usb2="00000000" w:usb3="00000000" w:csb0="00040000" w:csb1="00000000"/>
  </w:font>
  <w:font w:name="仿宋">
    <w:panose1 w:val="02010609060101010101"/>
    <w:charset w:val="86"/>
    <w:family w:val="modern"/>
    <w:pitch w:val="default"/>
    <w:sig w:usb0="800002BF" w:usb1="38CF7CFA" w:usb2="00000016" w:usb3="00000000" w:csb0="00040001" w:csb1="00000000"/>
  </w:font>
  <w:font w:name="Noto Sans Mono CJK JP Regular">
    <w:altName w:val="Calibri"/>
    <w:panose1 w:val="00000000000000000000"/>
    <w:charset w:val="00"/>
    <w:family w:val="swiss"/>
    <w:pitch w:val="default"/>
    <w:sig w:usb0="00000000" w:usb1="00000000" w:usb2="00000000" w:usb3="00000000" w:csb0="00000000" w:csb1="00000000"/>
  </w:font>
  <w:font w:name="华文细黑">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framePr w:wrap="around" w:vAnchor="text" w:hAnchor="margin" w:xAlign="center" w:y="1"/>
      <w:rPr>
        <w:rStyle w:val="16"/>
      </w:rPr>
    </w:pPr>
    <w:r>
      <w:rPr>
        <w:rStyle w:val="16"/>
      </w:rPr>
      <w:fldChar w:fldCharType="begin"/>
    </w:r>
    <w:r>
      <w:rPr>
        <w:rStyle w:val="16"/>
      </w:rPr>
      <w:instrText xml:space="preserve">PAGE  </w:instrText>
    </w:r>
    <w:r>
      <w:rPr>
        <w:rStyle w:val="16"/>
      </w:rPr>
      <w:fldChar w:fldCharType="separate"/>
    </w:r>
    <w:r>
      <w:rPr>
        <w:rStyle w:val="16"/>
      </w:rPr>
      <w:t>9</w:t>
    </w:r>
    <w:r>
      <w:rPr>
        <w:rStyle w:val="16"/>
      </w:rPr>
      <w:fldChar w:fldCharType="end"/>
    </w:r>
  </w:p>
  <w:p>
    <w:pPr>
      <w:pStyle w:val="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framePr w:wrap="around" w:vAnchor="text" w:hAnchor="margin" w:xAlign="center" w:y="1"/>
      <w:rPr>
        <w:rStyle w:val="16"/>
      </w:rPr>
    </w:pPr>
    <w:r>
      <w:rPr>
        <w:rStyle w:val="16"/>
      </w:rPr>
      <w:fldChar w:fldCharType="begin"/>
    </w:r>
    <w:r>
      <w:rPr>
        <w:rStyle w:val="16"/>
      </w:rPr>
      <w:instrText xml:space="preserve">PAGE  </w:instrText>
    </w:r>
    <w:r>
      <w:rPr>
        <w:rStyle w:val="16"/>
      </w:rPr>
      <w:fldChar w:fldCharType="end"/>
    </w:r>
  </w:p>
  <w:p>
    <w:pPr>
      <w:pStyle w:val="9"/>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7"/>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g3MDhlYzUwMDY3YzY3M2U5ZmJiMTc4MWFkMzQzMDQifQ=="/>
  </w:docVars>
  <w:rsids>
    <w:rsidRoot w:val="001F280B"/>
    <w:rsid w:val="00001836"/>
    <w:rsid w:val="0000321C"/>
    <w:rsid w:val="00003F9D"/>
    <w:rsid w:val="00007104"/>
    <w:rsid w:val="000152C1"/>
    <w:rsid w:val="00025D4A"/>
    <w:rsid w:val="000306DD"/>
    <w:rsid w:val="00035DE6"/>
    <w:rsid w:val="0003662F"/>
    <w:rsid w:val="000370F5"/>
    <w:rsid w:val="00041892"/>
    <w:rsid w:val="000420A9"/>
    <w:rsid w:val="0004731D"/>
    <w:rsid w:val="00052B0C"/>
    <w:rsid w:val="000544B5"/>
    <w:rsid w:val="00056C28"/>
    <w:rsid w:val="00062E92"/>
    <w:rsid w:val="00077B4B"/>
    <w:rsid w:val="00083834"/>
    <w:rsid w:val="00083C06"/>
    <w:rsid w:val="00084F86"/>
    <w:rsid w:val="00086488"/>
    <w:rsid w:val="000868BD"/>
    <w:rsid w:val="00091ED1"/>
    <w:rsid w:val="00095CA3"/>
    <w:rsid w:val="000A0DAA"/>
    <w:rsid w:val="000A30FE"/>
    <w:rsid w:val="000B419E"/>
    <w:rsid w:val="000B45C0"/>
    <w:rsid w:val="000B5433"/>
    <w:rsid w:val="000C126A"/>
    <w:rsid w:val="000C2E26"/>
    <w:rsid w:val="000D173E"/>
    <w:rsid w:val="000D760B"/>
    <w:rsid w:val="000E1419"/>
    <w:rsid w:val="000E1D97"/>
    <w:rsid w:val="000E4EF6"/>
    <w:rsid w:val="000E752F"/>
    <w:rsid w:val="000F2874"/>
    <w:rsid w:val="000F74F7"/>
    <w:rsid w:val="001011BB"/>
    <w:rsid w:val="00106CCF"/>
    <w:rsid w:val="00107F03"/>
    <w:rsid w:val="0011082F"/>
    <w:rsid w:val="00120855"/>
    <w:rsid w:val="00120F19"/>
    <w:rsid w:val="00130676"/>
    <w:rsid w:val="00133459"/>
    <w:rsid w:val="00136D05"/>
    <w:rsid w:val="0014051B"/>
    <w:rsid w:val="00143552"/>
    <w:rsid w:val="00144382"/>
    <w:rsid w:val="00144B88"/>
    <w:rsid w:val="001451F4"/>
    <w:rsid w:val="00146581"/>
    <w:rsid w:val="00147105"/>
    <w:rsid w:val="00147225"/>
    <w:rsid w:val="00162B56"/>
    <w:rsid w:val="00163348"/>
    <w:rsid w:val="00167159"/>
    <w:rsid w:val="00170AAF"/>
    <w:rsid w:val="0017239A"/>
    <w:rsid w:val="0017334B"/>
    <w:rsid w:val="00175AE2"/>
    <w:rsid w:val="00180DBC"/>
    <w:rsid w:val="00183116"/>
    <w:rsid w:val="00185085"/>
    <w:rsid w:val="00187049"/>
    <w:rsid w:val="00191CEE"/>
    <w:rsid w:val="00193D97"/>
    <w:rsid w:val="00196532"/>
    <w:rsid w:val="001A2943"/>
    <w:rsid w:val="001A3456"/>
    <w:rsid w:val="001A3B51"/>
    <w:rsid w:val="001A4B75"/>
    <w:rsid w:val="001B02F1"/>
    <w:rsid w:val="001B0FE3"/>
    <w:rsid w:val="001B38DF"/>
    <w:rsid w:val="001B66B4"/>
    <w:rsid w:val="001B6851"/>
    <w:rsid w:val="001B6AF6"/>
    <w:rsid w:val="001D02F2"/>
    <w:rsid w:val="001D1586"/>
    <w:rsid w:val="001D4BB7"/>
    <w:rsid w:val="001D4F7A"/>
    <w:rsid w:val="001D55DD"/>
    <w:rsid w:val="001D72A3"/>
    <w:rsid w:val="001D784B"/>
    <w:rsid w:val="001E53C6"/>
    <w:rsid w:val="001E6E59"/>
    <w:rsid w:val="001F280B"/>
    <w:rsid w:val="001F38FA"/>
    <w:rsid w:val="001F6034"/>
    <w:rsid w:val="001F60A1"/>
    <w:rsid w:val="001F7385"/>
    <w:rsid w:val="002010A9"/>
    <w:rsid w:val="00204529"/>
    <w:rsid w:val="00214CDA"/>
    <w:rsid w:val="00214E10"/>
    <w:rsid w:val="00217585"/>
    <w:rsid w:val="002175A2"/>
    <w:rsid w:val="0022055F"/>
    <w:rsid w:val="0022228C"/>
    <w:rsid w:val="00223B83"/>
    <w:rsid w:val="00224256"/>
    <w:rsid w:val="00233932"/>
    <w:rsid w:val="00235C8C"/>
    <w:rsid w:val="002375D5"/>
    <w:rsid w:val="00252D99"/>
    <w:rsid w:val="0025404F"/>
    <w:rsid w:val="0025466E"/>
    <w:rsid w:val="00255D46"/>
    <w:rsid w:val="00264A38"/>
    <w:rsid w:val="0026515D"/>
    <w:rsid w:val="00275BA1"/>
    <w:rsid w:val="00280389"/>
    <w:rsid w:val="00280D0B"/>
    <w:rsid w:val="00286638"/>
    <w:rsid w:val="00287F39"/>
    <w:rsid w:val="00287F68"/>
    <w:rsid w:val="00291724"/>
    <w:rsid w:val="00297C25"/>
    <w:rsid w:val="002A0EA7"/>
    <w:rsid w:val="002A124E"/>
    <w:rsid w:val="002A1552"/>
    <w:rsid w:val="002A444C"/>
    <w:rsid w:val="002A6850"/>
    <w:rsid w:val="002B08CF"/>
    <w:rsid w:val="002B17CD"/>
    <w:rsid w:val="002B44E7"/>
    <w:rsid w:val="002B4E8C"/>
    <w:rsid w:val="002B5288"/>
    <w:rsid w:val="002B5B79"/>
    <w:rsid w:val="002B669E"/>
    <w:rsid w:val="002B6C5A"/>
    <w:rsid w:val="002C14E2"/>
    <w:rsid w:val="002C2F64"/>
    <w:rsid w:val="002C43DE"/>
    <w:rsid w:val="002D4A86"/>
    <w:rsid w:val="002D5DAA"/>
    <w:rsid w:val="002D77AB"/>
    <w:rsid w:val="002E1D11"/>
    <w:rsid w:val="002E23DE"/>
    <w:rsid w:val="002E5F6E"/>
    <w:rsid w:val="002F05A7"/>
    <w:rsid w:val="002F3FAB"/>
    <w:rsid w:val="002F4137"/>
    <w:rsid w:val="00301D46"/>
    <w:rsid w:val="00303040"/>
    <w:rsid w:val="003034E1"/>
    <w:rsid w:val="0032326F"/>
    <w:rsid w:val="003302F6"/>
    <w:rsid w:val="00334844"/>
    <w:rsid w:val="00337FF4"/>
    <w:rsid w:val="003504F0"/>
    <w:rsid w:val="003505C4"/>
    <w:rsid w:val="00353162"/>
    <w:rsid w:val="00354696"/>
    <w:rsid w:val="00355FC8"/>
    <w:rsid w:val="00365E6A"/>
    <w:rsid w:val="00367B9D"/>
    <w:rsid w:val="00370392"/>
    <w:rsid w:val="003753A2"/>
    <w:rsid w:val="003832E9"/>
    <w:rsid w:val="003941BA"/>
    <w:rsid w:val="003973F3"/>
    <w:rsid w:val="003A7CEC"/>
    <w:rsid w:val="003B04D2"/>
    <w:rsid w:val="003B1B4D"/>
    <w:rsid w:val="003B416E"/>
    <w:rsid w:val="003B6D0F"/>
    <w:rsid w:val="003B7067"/>
    <w:rsid w:val="003D11B9"/>
    <w:rsid w:val="003D46F0"/>
    <w:rsid w:val="003E141C"/>
    <w:rsid w:val="003E2323"/>
    <w:rsid w:val="003E4126"/>
    <w:rsid w:val="003E6B73"/>
    <w:rsid w:val="003F0B7B"/>
    <w:rsid w:val="003F2147"/>
    <w:rsid w:val="00400329"/>
    <w:rsid w:val="004008E6"/>
    <w:rsid w:val="0040151F"/>
    <w:rsid w:val="00401582"/>
    <w:rsid w:val="00404DB7"/>
    <w:rsid w:val="00404F07"/>
    <w:rsid w:val="004062E5"/>
    <w:rsid w:val="0041141A"/>
    <w:rsid w:val="00411717"/>
    <w:rsid w:val="004136E4"/>
    <w:rsid w:val="00415F79"/>
    <w:rsid w:val="00416719"/>
    <w:rsid w:val="004202A5"/>
    <w:rsid w:val="004320A4"/>
    <w:rsid w:val="004367B8"/>
    <w:rsid w:val="00440F4E"/>
    <w:rsid w:val="00441E76"/>
    <w:rsid w:val="00443C69"/>
    <w:rsid w:val="00445217"/>
    <w:rsid w:val="0044526C"/>
    <w:rsid w:val="0044581F"/>
    <w:rsid w:val="004460B7"/>
    <w:rsid w:val="00451875"/>
    <w:rsid w:val="00455F36"/>
    <w:rsid w:val="00457B78"/>
    <w:rsid w:val="00461AAA"/>
    <w:rsid w:val="00461C99"/>
    <w:rsid w:val="00466CC0"/>
    <w:rsid w:val="0047182D"/>
    <w:rsid w:val="00472EEF"/>
    <w:rsid w:val="00475124"/>
    <w:rsid w:val="0047720B"/>
    <w:rsid w:val="00483312"/>
    <w:rsid w:val="00484B93"/>
    <w:rsid w:val="00484EA8"/>
    <w:rsid w:val="00486AFA"/>
    <w:rsid w:val="004902CF"/>
    <w:rsid w:val="0049129E"/>
    <w:rsid w:val="0049309C"/>
    <w:rsid w:val="004A43B7"/>
    <w:rsid w:val="004A6CF0"/>
    <w:rsid w:val="004B2DE1"/>
    <w:rsid w:val="004B5E38"/>
    <w:rsid w:val="004B694F"/>
    <w:rsid w:val="004C175D"/>
    <w:rsid w:val="004C1B8D"/>
    <w:rsid w:val="004C38F4"/>
    <w:rsid w:val="004C4356"/>
    <w:rsid w:val="004C5B3C"/>
    <w:rsid w:val="004D0C44"/>
    <w:rsid w:val="004D4AB5"/>
    <w:rsid w:val="004E66BB"/>
    <w:rsid w:val="004F1B35"/>
    <w:rsid w:val="004F272E"/>
    <w:rsid w:val="00502293"/>
    <w:rsid w:val="00502488"/>
    <w:rsid w:val="00503AC0"/>
    <w:rsid w:val="00511955"/>
    <w:rsid w:val="00516426"/>
    <w:rsid w:val="0051718F"/>
    <w:rsid w:val="00524F4A"/>
    <w:rsid w:val="00527F23"/>
    <w:rsid w:val="005307B8"/>
    <w:rsid w:val="005327AC"/>
    <w:rsid w:val="00534B6E"/>
    <w:rsid w:val="00536685"/>
    <w:rsid w:val="005467CF"/>
    <w:rsid w:val="00546847"/>
    <w:rsid w:val="00546CB5"/>
    <w:rsid w:val="00547936"/>
    <w:rsid w:val="005512AE"/>
    <w:rsid w:val="005518FD"/>
    <w:rsid w:val="00553ABE"/>
    <w:rsid w:val="005568DF"/>
    <w:rsid w:val="00560446"/>
    <w:rsid w:val="00564B75"/>
    <w:rsid w:val="00567E52"/>
    <w:rsid w:val="00571402"/>
    <w:rsid w:val="0057213C"/>
    <w:rsid w:val="005724E3"/>
    <w:rsid w:val="005806F4"/>
    <w:rsid w:val="005841E6"/>
    <w:rsid w:val="0058468A"/>
    <w:rsid w:val="00590C09"/>
    <w:rsid w:val="00592483"/>
    <w:rsid w:val="00593605"/>
    <w:rsid w:val="00595EC2"/>
    <w:rsid w:val="00596CBF"/>
    <w:rsid w:val="00597A12"/>
    <w:rsid w:val="005A07B0"/>
    <w:rsid w:val="005A0A4A"/>
    <w:rsid w:val="005A0EFF"/>
    <w:rsid w:val="005A2183"/>
    <w:rsid w:val="005A2332"/>
    <w:rsid w:val="005A28E2"/>
    <w:rsid w:val="005A611E"/>
    <w:rsid w:val="005A7208"/>
    <w:rsid w:val="005A7728"/>
    <w:rsid w:val="005C0705"/>
    <w:rsid w:val="005C5A28"/>
    <w:rsid w:val="005C770A"/>
    <w:rsid w:val="005D00A2"/>
    <w:rsid w:val="005D5867"/>
    <w:rsid w:val="005D7480"/>
    <w:rsid w:val="005E004D"/>
    <w:rsid w:val="005E362F"/>
    <w:rsid w:val="005E3DA6"/>
    <w:rsid w:val="005F0DD1"/>
    <w:rsid w:val="00601F02"/>
    <w:rsid w:val="006025FC"/>
    <w:rsid w:val="006059B8"/>
    <w:rsid w:val="00605B18"/>
    <w:rsid w:val="00605B3F"/>
    <w:rsid w:val="00607EE3"/>
    <w:rsid w:val="00610385"/>
    <w:rsid w:val="00610A27"/>
    <w:rsid w:val="006111A9"/>
    <w:rsid w:val="006136BE"/>
    <w:rsid w:val="00616656"/>
    <w:rsid w:val="006228C6"/>
    <w:rsid w:val="00625A2C"/>
    <w:rsid w:val="00626541"/>
    <w:rsid w:val="00627896"/>
    <w:rsid w:val="00630B64"/>
    <w:rsid w:val="00631CE9"/>
    <w:rsid w:val="006326E6"/>
    <w:rsid w:val="006354D7"/>
    <w:rsid w:val="00635C52"/>
    <w:rsid w:val="00636008"/>
    <w:rsid w:val="006361CD"/>
    <w:rsid w:val="00637DE5"/>
    <w:rsid w:val="00640B99"/>
    <w:rsid w:val="00642590"/>
    <w:rsid w:val="00642CF1"/>
    <w:rsid w:val="006505BD"/>
    <w:rsid w:val="0065284F"/>
    <w:rsid w:val="006537E0"/>
    <w:rsid w:val="00660A06"/>
    <w:rsid w:val="00661CAD"/>
    <w:rsid w:val="0066206C"/>
    <w:rsid w:val="0066462C"/>
    <w:rsid w:val="00665CF0"/>
    <w:rsid w:val="00667363"/>
    <w:rsid w:val="006801ED"/>
    <w:rsid w:val="0068291F"/>
    <w:rsid w:val="00683F0D"/>
    <w:rsid w:val="006849D8"/>
    <w:rsid w:val="006858A2"/>
    <w:rsid w:val="00691770"/>
    <w:rsid w:val="00692153"/>
    <w:rsid w:val="0069301B"/>
    <w:rsid w:val="006932A2"/>
    <w:rsid w:val="00693F64"/>
    <w:rsid w:val="00695B0A"/>
    <w:rsid w:val="006962C8"/>
    <w:rsid w:val="0069775B"/>
    <w:rsid w:val="006A0215"/>
    <w:rsid w:val="006A244C"/>
    <w:rsid w:val="006A3323"/>
    <w:rsid w:val="006A6CF6"/>
    <w:rsid w:val="006B54F6"/>
    <w:rsid w:val="006C4FD9"/>
    <w:rsid w:val="006C7169"/>
    <w:rsid w:val="006D0D4D"/>
    <w:rsid w:val="006D1E9F"/>
    <w:rsid w:val="006D20F1"/>
    <w:rsid w:val="006D493E"/>
    <w:rsid w:val="006D5B86"/>
    <w:rsid w:val="006D662E"/>
    <w:rsid w:val="006D7F48"/>
    <w:rsid w:val="006E082E"/>
    <w:rsid w:val="006E143E"/>
    <w:rsid w:val="006E27C1"/>
    <w:rsid w:val="006E3A82"/>
    <w:rsid w:val="006F11E9"/>
    <w:rsid w:val="006F28CE"/>
    <w:rsid w:val="006F5F81"/>
    <w:rsid w:val="006F7B27"/>
    <w:rsid w:val="007012E6"/>
    <w:rsid w:val="007029E5"/>
    <w:rsid w:val="007057D0"/>
    <w:rsid w:val="00705B22"/>
    <w:rsid w:val="007074A2"/>
    <w:rsid w:val="00710131"/>
    <w:rsid w:val="0071091F"/>
    <w:rsid w:val="007122EC"/>
    <w:rsid w:val="0071239F"/>
    <w:rsid w:val="007159C4"/>
    <w:rsid w:val="0071711C"/>
    <w:rsid w:val="00720067"/>
    <w:rsid w:val="007209C5"/>
    <w:rsid w:val="00721132"/>
    <w:rsid w:val="00721B57"/>
    <w:rsid w:val="00724E7A"/>
    <w:rsid w:val="00727D19"/>
    <w:rsid w:val="0073052D"/>
    <w:rsid w:val="007330D8"/>
    <w:rsid w:val="00736891"/>
    <w:rsid w:val="0074013C"/>
    <w:rsid w:val="00740B77"/>
    <w:rsid w:val="007415E7"/>
    <w:rsid w:val="0075145F"/>
    <w:rsid w:val="007572FF"/>
    <w:rsid w:val="0075736A"/>
    <w:rsid w:val="00763302"/>
    <w:rsid w:val="00767EB4"/>
    <w:rsid w:val="007740FE"/>
    <w:rsid w:val="00777D17"/>
    <w:rsid w:val="00783907"/>
    <w:rsid w:val="007876A9"/>
    <w:rsid w:val="00794209"/>
    <w:rsid w:val="0079656C"/>
    <w:rsid w:val="007973ED"/>
    <w:rsid w:val="007A0870"/>
    <w:rsid w:val="007A0E9E"/>
    <w:rsid w:val="007A537E"/>
    <w:rsid w:val="007A6F67"/>
    <w:rsid w:val="007A765B"/>
    <w:rsid w:val="007B0D6A"/>
    <w:rsid w:val="007C3485"/>
    <w:rsid w:val="007C5EB6"/>
    <w:rsid w:val="007C6BCD"/>
    <w:rsid w:val="007D1DBE"/>
    <w:rsid w:val="007D2034"/>
    <w:rsid w:val="007D5070"/>
    <w:rsid w:val="007D6F79"/>
    <w:rsid w:val="007E13B9"/>
    <w:rsid w:val="007E2AAA"/>
    <w:rsid w:val="007E3E31"/>
    <w:rsid w:val="007E5AE2"/>
    <w:rsid w:val="007F21EB"/>
    <w:rsid w:val="007F45C4"/>
    <w:rsid w:val="00807757"/>
    <w:rsid w:val="0081599C"/>
    <w:rsid w:val="00817663"/>
    <w:rsid w:val="00823B73"/>
    <w:rsid w:val="0082516F"/>
    <w:rsid w:val="00825AAA"/>
    <w:rsid w:val="00827E6F"/>
    <w:rsid w:val="008338A2"/>
    <w:rsid w:val="00834E8C"/>
    <w:rsid w:val="00835AD4"/>
    <w:rsid w:val="00835B9B"/>
    <w:rsid w:val="00843A24"/>
    <w:rsid w:val="00844A6E"/>
    <w:rsid w:val="0085738B"/>
    <w:rsid w:val="00860428"/>
    <w:rsid w:val="00861369"/>
    <w:rsid w:val="00861EAF"/>
    <w:rsid w:val="008654F9"/>
    <w:rsid w:val="0086694D"/>
    <w:rsid w:val="008670C4"/>
    <w:rsid w:val="0086742A"/>
    <w:rsid w:val="00871632"/>
    <w:rsid w:val="008716A4"/>
    <w:rsid w:val="008726AD"/>
    <w:rsid w:val="008874F6"/>
    <w:rsid w:val="00890AB2"/>
    <w:rsid w:val="00891386"/>
    <w:rsid w:val="0089255C"/>
    <w:rsid w:val="008933C7"/>
    <w:rsid w:val="00895BE9"/>
    <w:rsid w:val="00896CF4"/>
    <w:rsid w:val="008A5D99"/>
    <w:rsid w:val="008A61BA"/>
    <w:rsid w:val="008A680F"/>
    <w:rsid w:val="008B07CE"/>
    <w:rsid w:val="008B0E40"/>
    <w:rsid w:val="008B177A"/>
    <w:rsid w:val="008B1ACE"/>
    <w:rsid w:val="008B3698"/>
    <w:rsid w:val="008B3E49"/>
    <w:rsid w:val="008B721E"/>
    <w:rsid w:val="008C0712"/>
    <w:rsid w:val="008C6507"/>
    <w:rsid w:val="008D062A"/>
    <w:rsid w:val="008D0AA7"/>
    <w:rsid w:val="008D59F9"/>
    <w:rsid w:val="008E3DE2"/>
    <w:rsid w:val="008E4F8C"/>
    <w:rsid w:val="008F039C"/>
    <w:rsid w:val="008F273C"/>
    <w:rsid w:val="008F41B7"/>
    <w:rsid w:val="008F49A9"/>
    <w:rsid w:val="008F661B"/>
    <w:rsid w:val="00902E8F"/>
    <w:rsid w:val="00903BE6"/>
    <w:rsid w:val="00904D2F"/>
    <w:rsid w:val="009057C0"/>
    <w:rsid w:val="00905A56"/>
    <w:rsid w:val="009067C7"/>
    <w:rsid w:val="00907C73"/>
    <w:rsid w:val="00915477"/>
    <w:rsid w:val="00916BC6"/>
    <w:rsid w:val="00920CB8"/>
    <w:rsid w:val="00921337"/>
    <w:rsid w:val="00921EF3"/>
    <w:rsid w:val="0092363F"/>
    <w:rsid w:val="0093168C"/>
    <w:rsid w:val="00932AB5"/>
    <w:rsid w:val="0093559C"/>
    <w:rsid w:val="009370CE"/>
    <w:rsid w:val="0094053B"/>
    <w:rsid w:val="009407F9"/>
    <w:rsid w:val="0094519A"/>
    <w:rsid w:val="00945714"/>
    <w:rsid w:val="009471C1"/>
    <w:rsid w:val="0095066E"/>
    <w:rsid w:val="00951D2E"/>
    <w:rsid w:val="00953CC6"/>
    <w:rsid w:val="00955881"/>
    <w:rsid w:val="00956C8A"/>
    <w:rsid w:val="00960E32"/>
    <w:rsid w:val="00967178"/>
    <w:rsid w:val="00974C5F"/>
    <w:rsid w:val="00975DE6"/>
    <w:rsid w:val="00975EE7"/>
    <w:rsid w:val="009834DC"/>
    <w:rsid w:val="00987443"/>
    <w:rsid w:val="00991554"/>
    <w:rsid w:val="00993838"/>
    <w:rsid w:val="0099581D"/>
    <w:rsid w:val="009A027F"/>
    <w:rsid w:val="009A6C3F"/>
    <w:rsid w:val="009A6E88"/>
    <w:rsid w:val="009A74B6"/>
    <w:rsid w:val="009A79B5"/>
    <w:rsid w:val="009B22B9"/>
    <w:rsid w:val="009B705E"/>
    <w:rsid w:val="009B7E1A"/>
    <w:rsid w:val="009C1BFE"/>
    <w:rsid w:val="009C1F74"/>
    <w:rsid w:val="009C58AB"/>
    <w:rsid w:val="009C6C24"/>
    <w:rsid w:val="009D0AF8"/>
    <w:rsid w:val="009D3D17"/>
    <w:rsid w:val="009D5FC8"/>
    <w:rsid w:val="009E5CBD"/>
    <w:rsid w:val="009E62C1"/>
    <w:rsid w:val="009E650A"/>
    <w:rsid w:val="009F0017"/>
    <w:rsid w:val="009F0DC3"/>
    <w:rsid w:val="009F1299"/>
    <w:rsid w:val="009F2D5C"/>
    <w:rsid w:val="009F7B1D"/>
    <w:rsid w:val="00A01A47"/>
    <w:rsid w:val="00A03643"/>
    <w:rsid w:val="00A142D0"/>
    <w:rsid w:val="00A16475"/>
    <w:rsid w:val="00A1663C"/>
    <w:rsid w:val="00A255DB"/>
    <w:rsid w:val="00A37F68"/>
    <w:rsid w:val="00A43A9D"/>
    <w:rsid w:val="00A45AD1"/>
    <w:rsid w:val="00A505C6"/>
    <w:rsid w:val="00A5362A"/>
    <w:rsid w:val="00A54CF2"/>
    <w:rsid w:val="00A57F5E"/>
    <w:rsid w:val="00A614C7"/>
    <w:rsid w:val="00A6560A"/>
    <w:rsid w:val="00A65A96"/>
    <w:rsid w:val="00A756C2"/>
    <w:rsid w:val="00A75F1E"/>
    <w:rsid w:val="00A82FC2"/>
    <w:rsid w:val="00A85FBA"/>
    <w:rsid w:val="00A91F33"/>
    <w:rsid w:val="00A96451"/>
    <w:rsid w:val="00AA40F6"/>
    <w:rsid w:val="00AB1206"/>
    <w:rsid w:val="00AB1FDC"/>
    <w:rsid w:val="00AB4675"/>
    <w:rsid w:val="00AB4791"/>
    <w:rsid w:val="00AB56DF"/>
    <w:rsid w:val="00AB5FEA"/>
    <w:rsid w:val="00AB6906"/>
    <w:rsid w:val="00AB730D"/>
    <w:rsid w:val="00AC25EF"/>
    <w:rsid w:val="00AC5305"/>
    <w:rsid w:val="00AC546F"/>
    <w:rsid w:val="00AC71E2"/>
    <w:rsid w:val="00AC79AD"/>
    <w:rsid w:val="00AD10E6"/>
    <w:rsid w:val="00AD258D"/>
    <w:rsid w:val="00AD2A02"/>
    <w:rsid w:val="00AE0813"/>
    <w:rsid w:val="00AE3D2D"/>
    <w:rsid w:val="00AE6F3B"/>
    <w:rsid w:val="00AF5562"/>
    <w:rsid w:val="00AF6508"/>
    <w:rsid w:val="00AF6C50"/>
    <w:rsid w:val="00AF7D0E"/>
    <w:rsid w:val="00B03617"/>
    <w:rsid w:val="00B03634"/>
    <w:rsid w:val="00B06CDF"/>
    <w:rsid w:val="00B1476E"/>
    <w:rsid w:val="00B14900"/>
    <w:rsid w:val="00B14A29"/>
    <w:rsid w:val="00B219BF"/>
    <w:rsid w:val="00B3070F"/>
    <w:rsid w:val="00B3323A"/>
    <w:rsid w:val="00B347C5"/>
    <w:rsid w:val="00B40F3D"/>
    <w:rsid w:val="00B44915"/>
    <w:rsid w:val="00B45F8C"/>
    <w:rsid w:val="00B465E7"/>
    <w:rsid w:val="00B476D1"/>
    <w:rsid w:val="00B542C0"/>
    <w:rsid w:val="00B57D0E"/>
    <w:rsid w:val="00B60136"/>
    <w:rsid w:val="00B61216"/>
    <w:rsid w:val="00B635D9"/>
    <w:rsid w:val="00B74F74"/>
    <w:rsid w:val="00B75199"/>
    <w:rsid w:val="00B859D2"/>
    <w:rsid w:val="00B86BE2"/>
    <w:rsid w:val="00B948C4"/>
    <w:rsid w:val="00B94F8D"/>
    <w:rsid w:val="00B9515A"/>
    <w:rsid w:val="00B97C19"/>
    <w:rsid w:val="00BA39F7"/>
    <w:rsid w:val="00BA3CFF"/>
    <w:rsid w:val="00BA3D89"/>
    <w:rsid w:val="00BB1A05"/>
    <w:rsid w:val="00BB24A6"/>
    <w:rsid w:val="00BB2B6D"/>
    <w:rsid w:val="00BC10B6"/>
    <w:rsid w:val="00BC1757"/>
    <w:rsid w:val="00BC5760"/>
    <w:rsid w:val="00BD0855"/>
    <w:rsid w:val="00BD4C43"/>
    <w:rsid w:val="00BD69FE"/>
    <w:rsid w:val="00BD730A"/>
    <w:rsid w:val="00BE0012"/>
    <w:rsid w:val="00BE145E"/>
    <w:rsid w:val="00BE3870"/>
    <w:rsid w:val="00BF1AA1"/>
    <w:rsid w:val="00C0138B"/>
    <w:rsid w:val="00C015BA"/>
    <w:rsid w:val="00C0435E"/>
    <w:rsid w:val="00C11394"/>
    <w:rsid w:val="00C122FC"/>
    <w:rsid w:val="00C208AE"/>
    <w:rsid w:val="00C20924"/>
    <w:rsid w:val="00C210AD"/>
    <w:rsid w:val="00C21AE3"/>
    <w:rsid w:val="00C25666"/>
    <w:rsid w:val="00C26E45"/>
    <w:rsid w:val="00C37747"/>
    <w:rsid w:val="00C42494"/>
    <w:rsid w:val="00C433A6"/>
    <w:rsid w:val="00C45BD8"/>
    <w:rsid w:val="00C52D2E"/>
    <w:rsid w:val="00C56F8E"/>
    <w:rsid w:val="00C60FD6"/>
    <w:rsid w:val="00C65365"/>
    <w:rsid w:val="00C65C5A"/>
    <w:rsid w:val="00C70E5A"/>
    <w:rsid w:val="00C8254E"/>
    <w:rsid w:val="00C8630B"/>
    <w:rsid w:val="00C869AD"/>
    <w:rsid w:val="00C93159"/>
    <w:rsid w:val="00CA2BD3"/>
    <w:rsid w:val="00CA5822"/>
    <w:rsid w:val="00CA76EE"/>
    <w:rsid w:val="00CB0F06"/>
    <w:rsid w:val="00CC0E18"/>
    <w:rsid w:val="00CC0FF9"/>
    <w:rsid w:val="00CC3A12"/>
    <w:rsid w:val="00CC3FDE"/>
    <w:rsid w:val="00CC486E"/>
    <w:rsid w:val="00CC66BB"/>
    <w:rsid w:val="00CC6986"/>
    <w:rsid w:val="00CE1CBF"/>
    <w:rsid w:val="00CE2C37"/>
    <w:rsid w:val="00CE4190"/>
    <w:rsid w:val="00CF128E"/>
    <w:rsid w:val="00CF1E95"/>
    <w:rsid w:val="00CF38E2"/>
    <w:rsid w:val="00CF469A"/>
    <w:rsid w:val="00CF6512"/>
    <w:rsid w:val="00D00537"/>
    <w:rsid w:val="00D0133B"/>
    <w:rsid w:val="00D0197B"/>
    <w:rsid w:val="00D069A0"/>
    <w:rsid w:val="00D12987"/>
    <w:rsid w:val="00D159B2"/>
    <w:rsid w:val="00D162ED"/>
    <w:rsid w:val="00D2518B"/>
    <w:rsid w:val="00D252AC"/>
    <w:rsid w:val="00D2747C"/>
    <w:rsid w:val="00D32FB4"/>
    <w:rsid w:val="00D34458"/>
    <w:rsid w:val="00D36CCD"/>
    <w:rsid w:val="00D36EA9"/>
    <w:rsid w:val="00D37DBE"/>
    <w:rsid w:val="00D37F12"/>
    <w:rsid w:val="00D42D04"/>
    <w:rsid w:val="00D50438"/>
    <w:rsid w:val="00D50C91"/>
    <w:rsid w:val="00D51567"/>
    <w:rsid w:val="00D64321"/>
    <w:rsid w:val="00D65588"/>
    <w:rsid w:val="00D678DB"/>
    <w:rsid w:val="00D67F87"/>
    <w:rsid w:val="00D73E4E"/>
    <w:rsid w:val="00D779CC"/>
    <w:rsid w:val="00D820DD"/>
    <w:rsid w:val="00D87A86"/>
    <w:rsid w:val="00D90E9B"/>
    <w:rsid w:val="00D9169C"/>
    <w:rsid w:val="00D92C79"/>
    <w:rsid w:val="00D93B9C"/>
    <w:rsid w:val="00D954A4"/>
    <w:rsid w:val="00D96234"/>
    <w:rsid w:val="00DA1F1D"/>
    <w:rsid w:val="00DB2934"/>
    <w:rsid w:val="00DB2EEA"/>
    <w:rsid w:val="00DB38EF"/>
    <w:rsid w:val="00DC540E"/>
    <w:rsid w:val="00DD40A2"/>
    <w:rsid w:val="00DD440B"/>
    <w:rsid w:val="00DE1884"/>
    <w:rsid w:val="00DE2B1F"/>
    <w:rsid w:val="00DE3F3D"/>
    <w:rsid w:val="00DE4EFC"/>
    <w:rsid w:val="00DE5FDB"/>
    <w:rsid w:val="00DE68B0"/>
    <w:rsid w:val="00DE6F1C"/>
    <w:rsid w:val="00DF1289"/>
    <w:rsid w:val="00DF1732"/>
    <w:rsid w:val="00DF31FE"/>
    <w:rsid w:val="00E013E0"/>
    <w:rsid w:val="00E05325"/>
    <w:rsid w:val="00E0635E"/>
    <w:rsid w:val="00E07D00"/>
    <w:rsid w:val="00E10484"/>
    <w:rsid w:val="00E10B3E"/>
    <w:rsid w:val="00E10C52"/>
    <w:rsid w:val="00E11238"/>
    <w:rsid w:val="00E113BB"/>
    <w:rsid w:val="00E11EC2"/>
    <w:rsid w:val="00E20C73"/>
    <w:rsid w:val="00E214AA"/>
    <w:rsid w:val="00E238E7"/>
    <w:rsid w:val="00E2411C"/>
    <w:rsid w:val="00E245DF"/>
    <w:rsid w:val="00E2788C"/>
    <w:rsid w:val="00E30277"/>
    <w:rsid w:val="00E31EA7"/>
    <w:rsid w:val="00E332BA"/>
    <w:rsid w:val="00E424BD"/>
    <w:rsid w:val="00E42DA3"/>
    <w:rsid w:val="00E457E2"/>
    <w:rsid w:val="00E47DFA"/>
    <w:rsid w:val="00E5348A"/>
    <w:rsid w:val="00E54D15"/>
    <w:rsid w:val="00E568D8"/>
    <w:rsid w:val="00E571D8"/>
    <w:rsid w:val="00E60F0C"/>
    <w:rsid w:val="00E624D5"/>
    <w:rsid w:val="00E7363D"/>
    <w:rsid w:val="00E7534C"/>
    <w:rsid w:val="00E858CB"/>
    <w:rsid w:val="00E911DD"/>
    <w:rsid w:val="00E91C1A"/>
    <w:rsid w:val="00E91D4A"/>
    <w:rsid w:val="00EA32B4"/>
    <w:rsid w:val="00EA3A4E"/>
    <w:rsid w:val="00EA3E0F"/>
    <w:rsid w:val="00EB0779"/>
    <w:rsid w:val="00EB350B"/>
    <w:rsid w:val="00EB50C1"/>
    <w:rsid w:val="00EC3A8E"/>
    <w:rsid w:val="00EC5307"/>
    <w:rsid w:val="00EC7572"/>
    <w:rsid w:val="00ED10DA"/>
    <w:rsid w:val="00ED6664"/>
    <w:rsid w:val="00EE0BCB"/>
    <w:rsid w:val="00EE2735"/>
    <w:rsid w:val="00EE7953"/>
    <w:rsid w:val="00EE7A8C"/>
    <w:rsid w:val="00EF0708"/>
    <w:rsid w:val="00EF3164"/>
    <w:rsid w:val="00EF3171"/>
    <w:rsid w:val="00EF3DF1"/>
    <w:rsid w:val="00EF45A7"/>
    <w:rsid w:val="00EF4877"/>
    <w:rsid w:val="00EF4B9B"/>
    <w:rsid w:val="00F02208"/>
    <w:rsid w:val="00F043EA"/>
    <w:rsid w:val="00F11785"/>
    <w:rsid w:val="00F12436"/>
    <w:rsid w:val="00F14829"/>
    <w:rsid w:val="00F20F9D"/>
    <w:rsid w:val="00F24061"/>
    <w:rsid w:val="00F241B1"/>
    <w:rsid w:val="00F278AC"/>
    <w:rsid w:val="00F33D29"/>
    <w:rsid w:val="00F35D6B"/>
    <w:rsid w:val="00F365FD"/>
    <w:rsid w:val="00F372A1"/>
    <w:rsid w:val="00F423FF"/>
    <w:rsid w:val="00F44014"/>
    <w:rsid w:val="00F559BE"/>
    <w:rsid w:val="00F61D64"/>
    <w:rsid w:val="00F642A4"/>
    <w:rsid w:val="00F6661D"/>
    <w:rsid w:val="00F72D97"/>
    <w:rsid w:val="00F72E87"/>
    <w:rsid w:val="00F90C59"/>
    <w:rsid w:val="00F913EC"/>
    <w:rsid w:val="00FA0250"/>
    <w:rsid w:val="00FA392F"/>
    <w:rsid w:val="00FA570A"/>
    <w:rsid w:val="00FA5A15"/>
    <w:rsid w:val="00FA791B"/>
    <w:rsid w:val="00FB22B6"/>
    <w:rsid w:val="00FB3109"/>
    <w:rsid w:val="00FB34C1"/>
    <w:rsid w:val="00FB419E"/>
    <w:rsid w:val="00FB55B3"/>
    <w:rsid w:val="00FC1D99"/>
    <w:rsid w:val="00FC303A"/>
    <w:rsid w:val="00FC773A"/>
    <w:rsid w:val="00FD408D"/>
    <w:rsid w:val="00FD669E"/>
    <w:rsid w:val="00FE1D87"/>
    <w:rsid w:val="00FE2F1D"/>
    <w:rsid w:val="00FF02CF"/>
    <w:rsid w:val="00FF1C94"/>
    <w:rsid w:val="00FF76D7"/>
    <w:rsid w:val="00FF797F"/>
    <w:rsid w:val="01993841"/>
    <w:rsid w:val="01A050EF"/>
    <w:rsid w:val="01BF4029"/>
    <w:rsid w:val="0270203E"/>
    <w:rsid w:val="0275223E"/>
    <w:rsid w:val="0281282A"/>
    <w:rsid w:val="02C66627"/>
    <w:rsid w:val="02E73211"/>
    <w:rsid w:val="030A1DB4"/>
    <w:rsid w:val="036A59B4"/>
    <w:rsid w:val="03B10EED"/>
    <w:rsid w:val="03B550E3"/>
    <w:rsid w:val="03D95F8B"/>
    <w:rsid w:val="040A2CF3"/>
    <w:rsid w:val="0410030A"/>
    <w:rsid w:val="041F3365"/>
    <w:rsid w:val="04566044"/>
    <w:rsid w:val="04D330E5"/>
    <w:rsid w:val="05091D29"/>
    <w:rsid w:val="05922FA0"/>
    <w:rsid w:val="05A056BD"/>
    <w:rsid w:val="062B4526"/>
    <w:rsid w:val="06765D2C"/>
    <w:rsid w:val="067F1777"/>
    <w:rsid w:val="07DB2C0D"/>
    <w:rsid w:val="080A5070"/>
    <w:rsid w:val="08941BA6"/>
    <w:rsid w:val="08941CC3"/>
    <w:rsid w:val="08BD6586"/>
    <w:rsid w:val="08C416C3"/>
    <w:rsid w:val="091C32AD"/>
    <w:rsid w:val="09336848"/>
    <w:rsid w:val="09AA3AFB"/>
    <w:rsid w:val="09AB4631"/>
    <w:rsid w:val="0A0E5CD9"/>
    <w:rsid w:val="0A36214C"/>
    <w:rsid w:val="0A424F95"/>
    <w:rsid w:val="0A6D18E6"/>
    <w:rsid w:val="0A7E1D45"/>
    <w:rsid w:val="0AEB73DB"/>
    <w:rsid w:val="0B7849E6"/>
    <w:rsid w:val="0B7F7B23"/>
    <w:rsid w:val="0C3F2929"/>
    <w:rsid w:val="0C9B6BDE"/>
    <w:rsid w:val="0CDD71F7"/>
    <w:rsid w:val="0D5F7C0C"/>
    <w:rsid w:val="0DB25F8E"/>
    <w:rsid w:val="0DD220FE"/>
    <w:rsid w:val="0F557518"/>
    <w:rsid w:val="100827DD"/>
    <w:rsid w:val="100F5919"/>
    <w:rsid w:val="10233173"/>
    <w:rsid w:val="106612B1"/>
    <w:rsid w:val="10827943"/>
    <w:rsid w:val="10B169D0"/>
    <w:rsid w:val="10D91A83"/>
    <w:rsid w:val="10DB1C9F"/>
    <w:rsid w:val="1109680C"/>
    <w:rsid w:val="115F642C"/>
    <w:rsid w:val="118B5473"/>
    <w:rsid w:val="11CE35B2"/>
    <w:rsid w:val="127A1044"/>
    <w:rsid w:val="13141499"/>
    <w:rsid w:val="13AE5449"/>
    <w:rsid w:val="140C4AB9"/>
    <w:rsid w:val="14B20F69"/>
    <w:rsid w:val="14DE3B0C"/>
    <w:rsid w:val="15B12FCF"/>
    <w:rsid w:val="15BB3E4D"/>
    <w:rsid w:val="15F1161D"/>
    <w:rsid w:val="16881F81"/>
    <w:rsid w:val="169A7F07"/>
    <w:rsid w:val="170535D2"/>
    <w:rsid w:val="1707565A"/>
    <w:rsid w:val="171001C9"/>
    <w:rsid w:val="177C2B6D"/>
    <w:rsid w:val="17885FB1"/>
    <w:rsid w:val="180369BF"/>
    <w:rsid w:val="18842C1C"/>
    <w:rsid w:val="18A8690B"/>
    <w:rsid w:val="18C06139"/>
    <w:rsid w:val="18D747DB"/>
    <w:rsid w:val="18F97167"/>
    <w:rsid w:val="194D5EB8"/>
    <w:rsid w:val="1A1308E3"/>
    <w:rsid w:val="1BEA1501"/>
    <w:rsid w:val="1BEF2AA3"/>
    <w:rsid w:val="1C093B64"/>
    <w:rsid w:val="1C715266"/>
    <w:rsid w:val="1D997D8F"/>
    <w:rsid w:val="1DB775F0"/>
    <w:rsid w:val="1E6A6411"/>
    <w:rsid w:val="1E71154D"/>
    <w:rsid w:val="1E7A2AF8"/>
    <w:rsid w:val="1EA23DFC"/>
    <w:rsid w:val="1EB93D62"/>
    <w:rsid w:val="1F072F4E"/>
    <w:rsid w:val="1F495A94"/>
    <w:rsid w:val="1F770FCB"/>
    <w:rsid w:val="1FFC753C"/>
    <w:rsid w:val="20052895"/>
    <w:rsid w:val="200D1749"/>
    <w:rsid w:val="2096669C"/>
    <w:rsid w:val="20AF2801"/>
    <w:rsid w:val="211B39F2"/>
    <w:rsid w:val="211D59BC"/>
    <w:rsid w:val="219B4F28"/>
    <w:rsid w:val="21B71C80"/>
    <w:rsid w:val="222C23FC"/>
    <w:rsid w:val="224C47AB"/>
    <w:rsid w:val="226A4C31"/>
    <w:rsid w:val="22756F40"/>
    <w:rsid w:val="227D2BB6"/>
    <w:rsid w:val="23300C85"/>
    <w:rsid w:val="23B97D00"/>
    <w:rsid w:val="23BA3996"/>
    <w:rsid w:val="243674C1"/>
    <w:rsid w:val="24635DDC"/>
    <w:rsid w:val="24763D61"/>
    <w:rsid w:val="250C6474"/>
    <w:rsid w:val="25657932"/>
    <w:rsid w:val="258A1146"/>
    <w:rsid w:val="25E42F4C"/>
    <w:rsid w:val="26235823"/>
    <w:rsid w:val="267A1D52"/>
    <w:rsid w:val="26E1123A"/>
    <w:rsid w:val="270F3FF9"/>
    <w:rsid w:val="27CC5A46"/>
    <w:rsid w:val="27E64D5A"/>
    <w:rsid w:val="29256E96"/>
    <w:rsid w:val="2A701253"/>
    <w:rsid w:val="2A9A62D0"/>
    <w:rsid w:val="2AAE58D7"/>
    <w:rsid w:val="2B0E7F98"/>
    <w:rsid w:val="2B116592"/>
    <w:rsid w:val="2B17347C"/>
    <w:rsid w:val="2B465C04"/>
    <w:rsid w:val="2B925B89"/>
    <w:rsid w:val="2C3C1B09"/>
    <w:rsid w:val="2C610E53"/>
    <w:rsid w:val="2CEF5652"/>
    <w:rsid w:val="2D0A14EA"/>
    <w:rsid w:val="2D1E6D44"/>
    <w:rsid w:val="2D482013"/>
    <w:rsid w:val="2DC97FE4"/>
    <w:rsid w:val="2DEF36D7"/>
    <w:rsid w:val="2DFB7085"/>
    <w:rsid w:val="2DFD2DFD"/>
    <w:rsid w:val="2E2E745B"/>
    <w:rsid w:val="2E426A62"/>
    <w:rsid w:val="2EFF013F"/>
    <w:rsid w:val="2F0F103A"/>
    <w:rsid w:val="2F300FB0"/>
    <w:rsid w:val="2F835584"/>
    <w:rsid w:val="2F9915F8"/>
    <w:rsid w:val="2FA31782"/>
    <w:rsid w:val="302A5A00"/>
    <w:rsid w:val="31097D0B"/>
    <w:rsid w:val="316F36A1"/>
    <w:rsid w:val="31756E90"/>
    <w:rsid w:val="31A041CB"/>
    <w:rsid w:val="31AA329C"/>
    <w:rsid w:val="31B639EF"/>
    <w:rsid w:val="32560D2E"/>
    <w:rsid w:val="326F3B9E"/>
    <w:rsid w:val="32933D30"/>
    <w:rsid w:val="32E60304"/>
    <w:rsid w:val="332A60CB"/>
    <w:rsid w:val="334214A6"/>
    <w:rsid w:val="33891CF7"/>
    <w:rsid w:val="33AD2BD0"/>
    <w:rsid w:val="33DE31C6"/>
    <w:rsid w:val="33F402A0"/>
    <w:rsid w:val="342E1F62"/>
    <w:rsid w:val="34394463"/>
    <w:rsid w:val="34461273"/>
    <w:rsid w:val="347D25A2"/>
    <w:rsid w:val="34AF782F"/>
    <w:rsid w:val="3538296D"/>
    <w:rsid w:val="35523A2F"/>
    <w:rsid w:val="36194C10"/>
    <w:rsid w:val="3757357E"/>
    <w:rsid w:val="37B605F6"/>
    <w:rsid w:val="38877E93"/>
    <w:rsid w:val="38AF5476"/>
    <w:rsid w:val="38E452E6"/>
    <w:rsid w:val="3996102B"/>
    <w:rsid w:val="3A2D6818"/>
    <w:rsid w:val="3A471B77"/>
    <w:rsid w:val="3ABE6E8F"/>
    <w:rsid w:val="3B163750"/>
    <w:rsid w:val="3B3F4A90"/>
    <w:rsid w:val="3B6F2F50"/>
    <w:rsid w:val="3B762441"/>
    <w:rsid w:val="3BD17677"/>
    <w:rsid w:val="3BD258C9"/>
    <w:rsid w:val="3C21415B"/>
    <w:rsid w:val="3C254B95"/>
    <w:rsid w:val="3C2D6464"/>
    <w:rsid w:val="3C2D6FA3"/>
    <w:rsid w:val="3C366FFB"/>
    <w:rsid w:val="3CA54D8C"/>
    <w:rsid w:val="3D191CD8"/>
    <w:rsid w:val="3D32319E"/>
    <w:rsid w:val="3D956BAE"/>
    <w:rsid w:val="3DE454E5"/>
    <w:rsid w:val="3E860BED"/>
    <w:rsid w:val="3EC534C3"/>
    <w:rsid w:val="3EE15E23"/>
    <w:rsid w:val="3EF73899"/>
    <w:rsid w:val="3F305E7E"/>
    <w:rsid w:val="3FA532F5"/>
    <w:rsid w:val="3FEC0F24"/>
    <w:rsid w:val="400E3767"/>
    <w:rsid w:val="402D7572"/>
    <w:rsid w:val="40BC7A20"/>
    <w:rsid w:val="40F97454"/>
    <w:rsid w:val="41016309"/>
    <w:rsid w:val="41670862"/>
    <w:rsid w:val="41820937"/>
    <w:rsid w:val="41C05F07"/>
    <w:rsid w:val="42315F45"/>
    <w:rsid w:val="431C38CE"/>
    <w:rsid w:val="434C1998"/>
    <w:rsid w:val="437E6337"/>
    <w:rsid w:val="43D87340"/>
    <w:rsid w:val="44DE708D"/>
    <w:rsid w:val="44ED5025"/>
    <w:rsid w:val="4510288D"/>
    <w:rsid w:val="457C4AF8"/>
    <w:rsid w:val="45CE5353"/>
    <w:rsid w:val="45E16709"/>
    <w:rsid w:val="45F13348"/>
    <w:rsid w:val="46192347"/>
    <w:rsid w:val="46310FCF"/>
    <w:rsid w:val="46882DF4"/>
    <w:rsid w:val="46BB51AC"/>
    <w:rsid w:val="46F81F5C"/>
    <w:rsid w:val="472B0583"/>
    <w:rsid w:val="478A69D8"/>
    <w:rsid w:val="47FF070F"/>
    <w:rsid w:val="4970701E"/>
    <w:rsid w:val="49BF6D61"/>
    <w:rsid w:val="49C03205"/>
    <w:rsid w:val="49F7299F"/>
    <w:rsid w:val="4A331C29"/>
    <w:rsid w:val="4A6E2C61"/>
    <w:rsid w:val="4B49722A"/>
    <w:rsid w:val="4B5F6A4E"/>
    <w:rsid w:val="4BBA4278"/>
    <w:rsid w:val="4BCD1C09"/>
    <w:rsid w:val="4BE77F20"/>
    <w:rsid w:val="4C2C2DD4"/>
    <w:rsid w:val="4C765DFD"/>
    <w:rsid w:val="4C7920DC"/>
    <w:rsid w:val="4D1A70D0"/>
    <w:rsid w:val="4D371A30"/>
    <w:rsid w:val="4D602609"/>
    <w:rsid w:val="4D9D385D"/>
    <w:rsid w:val="4D9D7F97"/>
    <w:rsid w:val="4E0B1867"/>
    <w:rsid w:val="4E5F4541"/>
    <w:rsid w:val="4E686874"/>
    <w:rsid w:val="4EAF38CD"/>
    <w:rsid w:val="4EB66985"/>
    <w:rsid w:val="4EFD45B3"/>
    <w:rsid w:val="4F626994"/>
    <w:rsid w:val="4FC25167"/>
    <w:rsid w:val="50044B59"/>
    <w:rsid w:val="5006393C"/>
    <w:rsid w:val="509E1DC6"/>
    <w:rsid w:val="50A53155"/>
    <w:rsid w:val="511E4CB5"/>
    <w:rsid w:val="519531C9"/>
    <w:rsid w:val="52081BED"/>
    <w:rsid w:val="52796647"/>
    <w:rsid w:val="527C6137"/>
    <w:rsid w:val="531D5224"/>
    <w:rsid w:val="532076DA"/>
    <w:rsid w:val="53605111"/>
    <w:rsid w:val="53CE4770"/>
    <w:rsid w:val="53F87A3F"/>
    <w:rsid w:val="540B1521"/>
    <w:rsid w:val="54442C85"/>
    <w:rsid w:val="548E3F00"/>
    <w:rsid w:val="54AB4AB2"/>
    <w:rsid w:val="54C17E31"/>
    <w:rsid w:val="55896B55"/>
    <w:rsid w:val="55C8093E"/>
    <w:rsid w:val="565F7902"/>
    <w:rsid w:val="56633896"/>
    <w:rsid w:val="56902031"/>
    <w:rsid w:val="572B1EDA"/>
    <w:rsid w:val="575925A3"/>
    <w:rsid w:val="578313D3"/>
    <w:rsid w:val="57914433"/>
    <w:rsid w:val="58032A4C"/>
    <w:rsid w:val="589F492D"/>
    <w:rsid w:val="58F44C79"/>
    <w:rsid w:val="59417793"/>
    <w:rsid w:val="597A4A53"/>
    <w:rsid w:val="59A12560"/>
    <w:rsid w:val="59DC5F00"/>
    <w:rsid w:val="59E545C2"/>
    <w:rsid w:val="5A0A5DD6"/>
    <w:rsid w:val="5A115A38"/>
    <w:rsid w:val="5A3A2B60"/>
    <w:rsid w:val="5A7D106A"/>
    <w:rsid w:val="5ABF3065"/>
    <w:rsid w:val="5AD620A3"/>
    <w:rsid w:val="5ADD34EB"/>
    <w:rsid w:val="5AE1122D"/>
    <w:rsid w:val="5B0B44FC"/>
    <w:rsid w:val="5B33191E"/>
    <w:rsid w:val="5B3C46B5"/>
    <w:rsid w:val="5B76165D"/>
    <w:rsid w:val="5C0276AD"/>
    <w:rsid w:val="5C875E04"/>
    <w:rsid w:val="5CE07B60"/>
    <w:rsid w:val="5DEF6EF5"/>
    <w:rsid w:val="5EB06119"/>
    <w:rsid w:val="5EFA0B0F"/>
    <w:rsid w:val="5EFF1C82"/>
    <w:rsid w:val="5F221E14"/>
    <w:rsid w:val="5F530220"/>
    <w:rsid w:val="5F950838"/>
    <w:rsid w:val="5FA647F3"/>
    <w:rsid w:val="5FD60138"/>
    <w:rsid w:val="604D2EC1"/>
    <w:rsid w:val="60C2740B"/>
    <w:rsid w:val="61354081"/>
    <w:rsid w:val="617B738A"/>
    <w:rsid w:val="61C805F0"/>
    <w:rsid w:val="61EB0BE3"/>
    <w:rsid w:val="6220088D"/>
    <w:rsid w:val="62A50D92"/>
    <w:rsid w:val="62E25B42"/>
    <w:rsid w:val="62EE2739"/>
    <w:rsid w:val="64B41760"/>
    <w:rsid w:val="64E21E2A"/>
    <w:rsid w:val="6535069E"/>
    <w:rsid w:val="65393A14"/>
    <w:rsid w:val="65913850"/>
    <w:rsid w:val="66091638"/>
    <w:rsid w:val="66124991"/>
    <w:rsid w:val="6623094C"/>
    <w:rsid w:val="66521231"/>
    <w:rsid w:val="66546D57"/>
    <w:rsid w:val="669B40CD"/>
    <w:rsid w:val="66E2019B"/>
    <w:rsid w:val="66F347C2"/>
    <w:rsid w:val="671F693C"/>
    <w:rsid w:val="67931B01"/>
    <w:rsid w:val="680C5410"/>
    <w:rsid w:val="68E2233A"/>
    <w:rsid w:val="68E343C2"/>
    <w:rsid w:val="69164798"/>
    <w:rsid w:val="693764BC"/>
    <w:rsid w:val="69B61AD7"/>
    <w:rsid w:val="6A0960AB"/>
    <w:rsid w:val="6A0A597F"/>
    <w:rsid w:val="6A3053E5"/>
    <w:rsid w:val="6A7D43A3"/>
    <w:rsid w:val="6A9C0CCD"/>
    <w:rsid w:val="6C7D4B2E"/>
    <w:rsid w:val="6CB43DFE"/>
    <w:rsid w:val="6D0D5EB2"/>
    <w:rsid w:val="6D965EA7"/>
    <w:rsid w:val="6DC20E49"/>
    <w:rsid w:val="6EA6211A"/>
    <w:rsid w:val="6F20011E"/>
    <w:rsid w:val="6F616041"/>
    <w:rsid w:val="6FC20AE3"/>
    <w:rsid w:val="6FDE3B35"/>
    <w:rsid w:val="70096E04"/>
    <w:rsid w:val="700E441B"/>
    <w:rsid w:val="709106FE"/>
    <w:rsid w:val="70E937DB"/>
    <w:rsid w:val="70F01D72"/>
    <w:rsid w:val="712D1CE0"/>
    <w:rsid w:val="717B5AE0"/>
    <w:rsid w:val="71834994"/>
    <w:rsid w:val="71CE4B7C"/>
    <w:rsid w:val="71D46F9E"/>
    <w:rsid w:val="723143F0"/>
    <w:rsid w:val="729130E1"/>
    <w:rsid w:val="72A838E9"/>
    <w:rsid w:val="72B046F0"/>
    <w:rsid w:val="72D525A9"/>
    <w:rsid w:val="72F01BB6"/>
    <w:rsid w:val="72F9402A"/>
    <w:rsid w:val="7316584D"/>
    <w:rsid w:val="73E3796C"/>
    <w:rsid w:val="7400407A"/>
    <w:rsid w:val="743D52CE"/>
    <w:rsid w:val="743E4C56"/>
    <w:rsid w:val="74856C75"/>
    <w:rsid w:val="74E7348C"/>
    <w:rsid w:val="74FB6DFA"/>
    <w:rsid w:val="75175B20"/>
    <w:rsid w:val="75A849CA"/>
    <w:rsid w:val="75AF5D58"/>
    <w:rsid w:val="75B55338"/>
    <w:rsid w:val="761638DC"/>
    <w:rsid w:val="7625426C"/>
    <w:rsid w:val="76B13D52"/>
    <w:rsid w:val="770728FC"/>
    <w:rsid w:val="77085199"/>
    <w:rsid w:val="77383B2B"/>
    <w:rsid w:val="779C055E"/>
    <w:rsid w:val="784B788E"/>
    <w:rsid w:val="785C454D"/>
    <w:rsid w:val="78632E2A"/>
    <w:rsid w:val="794C1B10"/>
    <w:rsid w:val="79773031"/>
    <w:rsid w:val="79D833A4"/>
    <w:rsid w:val="7A187C44"/>
    <w:rsid w:val="7A28432B"/>
    <w:rsid w:val="7A392501"/>
    <w:rsid w:val="7A3A405E"/>
    <w:rsid w:val="7A50583C"/>
    <w:rsid w:val="7A5C3FD5"/>
    <w:rsid w:val="7AA05293"/>
    <w:rsid w:val="7ADA62D8"/>
    <w:rsid w:val="7AEC5358"/>
    <w:rsid w:val="7B4401AB"/>
    <w:rsid w:val="7B607AF4"/>
    <w:rsid w:val="7BD768DB"/>
    <w:rsid w:val="7C352D2F"/>
    <w:rsid w:val="7C4411C4"/>
    <w:rsid w:val="7CA352C1"/>
    <w:rsid w:val="7D496A92"/>
    <w:rsid w:val="7DA4016C"/>
    <w:rsid w:val="7DA912DF"/>
    <w:rsid w:val="7DC1351F"/>
    <w:rsid w:val="7E123328"/>
    <w:rsid w:val="7E81304E"/>
    <w:rsid w:val="7EA5419C"/>
    <w:rsid w:val="7F1D01D6"/>
    <w:rsid w:val="7F7E49ED"/>
    <w:rsid w:val="7FC22B2C"/>
    <w:rsid w:val="7FD50AB1"/>
    <w:rsid w:val="FBDF82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ocked="1"/>
    <w:lsdException w:uiPriority="0" w:name="toc 2" w:locked="1"/>
    <w:lsdException w:uiPriority="0" w:name="toc 3" w:locked="1"/>
    <w:lsdException w:uiPriority="0" w:name="toc 4" w:locked="1"/>
    <w:lsdException w:uiPriority="0" w:name="toc 5" w:locked="1"/>
    <w:lsdException w:uiPriority="0" w:name="toc 6" w:locked="1"/>
    <w:lsdException w:uiPriority="0" w:name="toc 7" w:locked="1"/>
    <w:lsdException w:uiPriority="0" w:name="toc 8" w:locked="1"/>
    <w:lsdException w:uiPriority="0" w:name="toc 9" w:locked="1"/>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ocked="1"/>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ocked="1"/>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ocked="1"/>
    <w:lsdException w:unhideWhenUsed="0" w:uiPriority="0" w:semiHidden="0" w:name="Salutation"/>
    <w:lsdException w:unhideWhenUsed="0" w:uiPriority="0" w:semiHidden="0" w:name="Date"/>
    <w:lsdException w:qFormat="1" w:unhideWhenUsed="0" w:uiPriority="0" w:semiHidden="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uiPriority="0" w:name="FollowedHyperlink"/>
    <w:lsdException w:qFormat="1" w:unhideWhenUsed="0" w:uiPriority="0" w:semiHidden="0" w:name="Strong" w:locked="1"/>
    <w:lsdException w:qFormat="1" w:unhideWhenUsed="0" w:uiPriority="0" w:semiHidden="0" w:name="Emphasis" w:locked="1"/>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ocked="1"/>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8"/>
    <w:qFormat/>
    <w:uiPriority w:val="0"/>
    <w:pPr>
      <w:widowControl/>
      <w:spacing w:before="100" w:beforeAutospacing="1" w:after="100" w:afterAutospacing="1"/>
      <w:jc w:val="left"/>
      <w:outlineLvl w:val="0"/>
    </w:pPr>
    <w:rPr>
      <w:rFonts w:ascii="宋体" w:hAnsi="宋体" w:cs="宋体"/>
      <w:b/>
      <w:bCs/>
      <w:kern w:val="36"/>
      <w:sz w:val="48"/>
      <w:szCs w:val="48"/>
    </w:rPr>
  </w:style>
  <w:style w:type="character" w:default="1" w:styleId="15">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3">
    <w:name w:val="Document Map"/>
    <w:basedOn w:val="1"/>
    <w:link w:val="23"/>
    <w:semiHidden/>
    <w:qFormat/>
    <w:uiPriority w:val="0"/>
    <w:pPr>
      <w:shd w:val="clear" w:color="auto" w:fill="000080"/>
    </w:pPr>
  </w:style>
  <w:style w:type="paragraph" w:styleId="4">
    <w:name w:val="Body Text"/>
    <w:basedOn w:val="1"/>
    <w:next w:val="1"/>
    <w:qFormat/>
    <w:uiPriority w:val="0"/>
    <w:pPr>
      <w:jc w:val="center"/>
    </w:pPr>
    <w:rPr>
      <w:rFonts w:ascii="仿宋_GB2312" w:hAnsi="仿宋_GB2312" w:eastAsia="黑体"/>
    </w:rPr>
  </w:style>
  <w:style w:type="paragraph" w:styleId="5">
    <w:name w:val="Body Text Indent"/>
    <w:basedOn w:val="1"/>
    <w:link w:val="20"/>
    <w:qFormat/>
    <w:uiPriority w:val="0"/>
    <w:pPr>
      <w:spacing w:line="360" w:lineRule="auto"/>
      <w:ind w:left="360"/>
    </w:pPr>
    <w:rPr>
      <w:sz w:val="24"/>
    </w:rPr>
  </w:style>
  <w:style w:type="paragraph" w:styleId="6">
    <w:name w:val="Block Text"/>
    <w:basedOn w:val="1"/>
    <w:next w:val="1"/>
    <w:qFormat/>
    <w:uiPriority w:val="0"/>
    <w:pPr>
      <w:adjustRightInd w:val="0"/>
      <w:spacing w:line="300" w:lineRule="auto"/>
      <w:ind w:left="958" w:right="-120" w:rightChars="-120"/>
    </w:pPr>
    <w:rPr>
      <w:sz w:val="28"/>
      <w:szCs w:val="20"/>
    </w:rPr>
  </w:style>
  <w:style w:type="paragraph" w:styleId="7">
    <w:name w:val="Body Text Indent 2"/>
    <w:basedOn w:val="1"/>
    <w:link w:val="21"/>
    <w:qFormat/>
    <w:uiPriority w:val="0"/>
    <w:pPr>
      <w:ind w:firstLine="636" w:firstLineChars="227"/>
    </w:pPr>
    <w:rPr>
      <w:sz w:val="28"/>
    </w:rPr>
  </w:style>
  <w:style w:type="paragraph" w:styleId="8">
    <w:name w:val="Balloon Text"/>
    <w:basedOn w:val="1"/>
    <w:link w:val="24"/>
    <w:semiHidden/>
    <w:qFormat/>
    <w:uiPriority w:val="0"/>
    <w:rPr>
      <w:sz w:val="18"/>
      <w:szCs w:val="18"/>
    </w:rPr>
  </w:style>
  <w:style w:type="paragraph" w:styleId="9">
    <w:name w:val="footer"/>
    <w:basedOn w:val="1"/>
    <w:link w:val="25"/>
    <w:qFormat/>
    <w:uiPriority w:val="0"/>
    <w:pPr>
      <w:tabs>
        <w:tab w:val="center" w:pos="4153"/>
        <w:tab w:val="right" w:pos="8306"/>
      </w:tabs>
      <w:snapToGrid w:val="0"/>
      <w:jc w:val="left"/>
    </w:pPr>
    <w:rPr>
      <w:sz w:val="18"/>
      <w:szCs w:val="18"/>
    </w:rPr>
  </w:style>
  <w:style w:type="paragraph" w:styleId="10">
    <w:name w:val="header"/>
    <w:basedOn w:val="1"/>
    <w:link w:val="26"/>
    <w:qFormat/>
    <w:uiPriority w:val="0"/>
    <w:pPr>
      <w:pBdr>
        <w:bottom w:val="single" w:color="auto" w:sz="6" w:space="1"/>
      </w:pBdr>
      <w:tabs>
        <w:tab w:val="center" w:pos="4153"/>
        <w:tab w:val="right" w:pos="8306"/>
      </w:tabs>
      <w:snapToGrid w:val="0"/>
      <w:jc w:val="center"/>
    </w:pPr>
    <w:rPr>
      <w:sz w:val="18"/>
      <w:szCs w:val="18"/>
    </w:rPr>
  </w:style>
  <w:style w:type="paragraph" w:styleId="11">
    <w:name w:val="Body Text Indent 3"/>
    <w:basedOn w:val="1"/>
    <w:link w:val="22"/>
    <w:qFormat/>
    <w:uiPriority w:val="0"/>
    <w:pPr>
      <w:ind w:left="-250" w:leftChars="-250" w:firstLine="560" w:firstLineChars="200"/>
    </w:pPr>
    <w:rPr>
      <w:rFonts w:eastAsia="仿宋_GB2312"/>
      <w:sz w:val="28"/>
    </w:rPr>
  </w:style>
  <w:style w:type="paragraph" w:styleId="12">
    <w:name w:val="Body Text First Indent"/>
    <w:basedOn w:val="4"/>
    <w:qFormat/>
    <w:uiPriority w:val="0"/>
    <w:pPr>
      <w:spacing w:line="560" w:lineRule="exact"/>
      <w:ind w:firstLine="721" w:firstLineChars="200"/>
    </w:pPr>
    <w:rPr>
      <w:rFonts w:ascii="Calibri"/>
    </w:rPr>
  </w:style>
  <w:style w:type="table" w:styleId="14">
    <w:name w:val="Table Grid"/>
    <w:basedOn w:val="13"/>
    <w:qFormat/>
    <w:locked/>
    <w:uiPriority w:val="0"/>
    <w:rPr>
      <w:rFonts w:ascii="Arial" w:hAnsi="Arial" w:cs="Arial" w:eastAsiaTheme="minorEastAsia"/>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6">
    <w:name w:val="page number"/>
    <w:basedOn w:val="15"/>
    <w:qFormat/>
    <w:uiPriority w:val="0"/>
    <w:rPr>
      <w:rFonts w:cs="Times New Roman"/>
    </w:rPr>
  </w:style>
  <w:style w:type="character" w:styleId="17">
    <w:name w:val="Hyperlink"/>
    <w:basedOn w:val="15"/>
    <w:qFormat/>
    <w:uiPriority w:val="0"/>
    <w:rPr>
      <w:rFonts w:cs="Times New Roman"/>
      <w:color w:val="0000FF"/>
      <w:u w:val="single"/>
    </w:rPr>
  </w:style>
  <w:style w:type="character" w:customStyle="1" w:styleId="18">
    <w:name w:val="标题 1 字符"/>
    <w:basedOn w:val="15"/>
    <w:link w:val="2"/>
    <w:qFormat/>
    <w:locked/>
    <w:uiPriority w:val="0"/>
    <w:rPr>
      <w:rFonts w:cs="Times New Roman"/>
      <w:b/>
      <w:bCs/>
      <w:kern w:val="44"/>
      <w:sz w:val="44"/>
      <w:szCs w:val="44"/>
    </w:rPr>
  </w:style>
  <w:style w:type="character" w:customStyle="1" w:styleId="19">
    <w:name w:val="black000"/>
    <w:basedOn w:val="15"/>
    <w:qFormat/>
    <w:uiPriority w:val="0"/>
    <w:rPr>
      <w:rFonts w:cs="Times New Roman"/>
    </w:rPr>
  </w:style>
  <w:style w:type="character" w:customStyle="1" w:styleId="20">
    <w:name w:val="正文文本缩进 字符"/>
    <w:basedOn w:val="15"/>
    <w:link w:val="5"/>
    <w:semiHidden/>
    <w:qFormat/>
    <w:locked/>
    <w:uiPriority w:val="0"/>
    <w:rPr>
      <w:rFonts w:cs="Times New Roman"/>
      <w:sz w:val="24"/>
      <w:szCs w:val="24"/>
    </w:rPr>
  </w:style>
  <w:style w:type="character" w:customStyle="1" w:styleId="21">
    <w:name w:val="正文文本缩进 2 字符"/>
    <w:basedOn w:val="15"/>
    <w:link w:val="7"/>
    <w:semiHidden/>
    <w:qFormat/>
    <w:locked/>
    <w:uiPriority w:val="0"/>
    <w:rPr>
      <w:rFonts w:cs="Times New Roman"/>
      <w:sz w:val="24"/>
      <w:szCs w:val="24"/>
    </w:rPr>
  </w:style>
  <w:style w:type="character" w:customStyle="1" w:styleId="22">
    <w:name w:val="正文文本缩进 3 字符"/>
    <w:basedOn w:val="15"/>
    <w:link w:val="11"/>
    <w:semiHidden/>
    <w:qFormat/>
    <w:locked/>
    <w:uiPriority w:val="0"/>
    <w:rPr>
      <w:rFonts w:cs="Times New Roman"/>
      <w:sz w:val="16"/>
      <w:szCs w:val="16"/>
    </w:rPr>
  </w:style>
  <w:style w:type="character" w:customStyle="1" w:styleId="23">
    <w:name w:val="文档结构图 字符"/>
    <w:basedOn w:val="15"/>
    <w:link w:val="3"/>
    <w:semiHidden/>
    <w:qFormat/>
    <w:locked/>
    <w:uiPriority w:val="0"/>
    <w:rPr>
      <w:rFonts w:cs="Times New Roman"/>
      <w:sz w:val="2"/>
    </w:rPr>
  </w:style>
  <w:style w:type="character" w:customStyle="1" w:styleId="24">
    <w:name w:val="批注框文本 字符"/>
    <w:basedOn w:val="15"/>
    <w:link w:val="8"/>
    <w:semiHidden/>
    <w:qFormat/>
    <w:locked/>
    <w:uiPriority w:val="0"/>
    <w:rPr>
      <w:rFonts w:cs="Times New Roman"/>
      <w:sz w:val="2"/>
    </w:rPr>
  </w:style>
  <w:style w:type="character" w:customStyle="1" w:styleId="25">
    <w:name w:val="页脚 字符"/>
    <w:basedOn w:val="15"/>
    <w:link w:val="9"/>
    <w:semiHidden/>
    <w:qFormat/>
    <w:locked/>
    <w:uiPriority w:val="0"/>
    <w:rPr>
      <w:rFonts w:cs="Times New Roman"/>
      <w:sz w:val="18"/>
      <w:szCs w:val="18"/>
    </w:rPr>
  </w:style>
  <w:style w:type="character" w:customStyle="1" w:styleId="26">
    <w:name w:val="页眉 字符"/>
    <w:basedOn w:val="15"/>
    <w:link w:val="10"/>
    <w:qFormat/>
    <w:locked/>
    <w:uiPriority w:val="0"/>
    <w:rPr>
      <w:rFonts w:cs="Times New Roman"/>
      <w:kern w:val="2"/>
      <w:sz w:val="18"/>
    </w:rPr>
  </w:style>
  <w:style w:type="paragraph" w:customStyle="1" w:styleId="27">
    <w:name w:val="List Paragraph1"/>
    <w:basedOn w:val="1"/>
    <w:qFormat/>
    <w:uiPriority w:val="0"/>
    <w:pPr>
      <w:ind w:firstLine="420" w:firstLineChars="200"/>
    </w:pPr>
  </w:style>
  <w:style w:type="paragraph" w:customStyle="1" w:styleId="28">
    <w:name w:val="Char Char Char Char"/>
    <w:basedOn w:val="1"/>
    <w:qFormat/>
    <w:uiPriority w:val="0"/>
    <w:rPr>
      <w:szCs w:val="20"/>
    </w:rPr>
  </w:style>
  <w:style w:type="character" w:customStyle="1" w:styleId="29">
    <w:name w:val="apple-converted-space"/>
    <w:basedOn w:val="15"/>
    <w:qFormat/>
    <w:uiPriority w:val="0"/>
    <w:rPr>
      <w:rFonts w:cs="Times New Roman"/>
    </w:rPr>
  </w:style>
  <w:style w:type="paragraph" w:customStyle="1" w:styleId="30">
    <w:name w:val="列出段落1"/>
    <w:basedOn w:val="1"/>
    <w:qFormat/>
    <w:uiPriority w:val="0"/>
    <w:pPr>
      <w:ind w:firstLine="420" w:firstLineChars="200"/>
    </w:pPr>
    <w:rPr>
      <w:rFonts w:ascii="Calibri" w:hAnsi="Calibri"/>
      <w:szCs w:val="22"/>
    </w:rPr>
  </w:style>
  <w:style w:type="paragraph" w:styleId="31">
    <w:name w:val="List Paragraph"/>
    <w:basedOn w:val="1"/>
    <w:qFormat/>
    <w:uiPriority w:val="34"/>
    <w:pPr>
      <w:ind w:firstLine="420" w:firstLineChars="200"/>
    </w:pPr>
  </w:style>
  <w:style w:type="paragraph" w:customStyle="1" w:styleId="32">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33">
    <w:name w:val="正文文本自建"/>
    <w:basedOn w:val="1"/>
    <w:qFormat/>
    <w:uiPriority w:val="0"/>
    <w:pPr>
      <w:adjustRightInd w:val="0"/>
      <w:snapToGrid w:val="0"/>
      <w:spacing w:line="400" w:lineRule="exact"/>
      <w:ind w:firstLine="200" w:firstLineChars="200"/>
    </w:pPr>
    <w:rPr>
      <w:sz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ChengJiaoChu</Company>
  <Pages>23</Pages>
  <Words>3750</Words>
  <Characters>3862</Characters>
  <Lines>81</Lines>
  <Paragraphs>22</Paragraphs>
  <TotalTime>7</TotalTime>
  <ScaleCrop>false</ScaleCrop>
  <LinksUpToDate>false</LinksUpToDate>
  <CharactersWithSpaces>3879</CharactersWithSpaces>
  <Application>WPS Office_11.8.2.11818_F1E327BC-269C-435d-A152-05C5408002CA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2026-05-09T13:44:00Z</dcterms:created>
  <dc:creator>zhang</dc:creator>
  <cp:lastModifiedBy>admin</cp:lastModifiedBy>
  <cp:lastPrinted>2026-05-09T15:48:00Z</cp:lastPrinted>
  <dcterms:modified xsi:type="dcterms:W3CDTF">2026-07-02T10:16:18Z</dcterms:modified>
  <dc:title>维修电工竞赛技术纲要</dc:title>
  <cp:revision>39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2052-11.8.2.11818</vt:lpwstr>
  </property>
  <property fmtid="{D5CDD505-2E9C-101B-9397-08002B2CF9AE}" pid="3" name="ICV">
    <vt:lpwstr>E46E69FDB4E14A0BA6671D31971FC1B6_13</vt:lpwstr>
  </property>
  <property fmtid="{D5CDD505-2E9C-101B-9397-08002B2CF9AE}" pid="4" name="KSOTemplateDocerSaveRecord">
    <vt:lpwstr>eyJoZGlkIjoiMTUwYTY0MGM3ZjczMTVkYjQ5ZTc3MzI4MmY2ZTUzMTIiLCJ1c2VySWQiOiIzOTU4MjY3NDQifQ==</vt:lpwstr>
  </property>
</Properties>
</file>