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新魏" w:eastAsia="华文新魏"/>
          <w:sz w:val="52"/>
          <w:szCs w:val="52"/>
        </w:rPr>
      </w:pPr>
      <w:r>
        <w:rPr>
          <w:rFonts w:ascii="华文新魏" w:eastAsia="华文新魏"/>
          <w:sz w:val="52"/>
          <w:szCs w:val="52"/>
        </w:rPr>
        <mc:AlternateContent>
          <mc:Choice Requires="wps">
            <w:drawing>
              <wp:anchor distT="0" distB="0" distL="114300" distR="114300" simplePos="0" relativeHeight="251659264" behindDoc="0" locked="0" layoutInCell="1" allowOverlap="1">
                <wp:simplePos x="0" y="0"/>
                <wp:positionH relativeFrom="column">
                  <wp:posOffset>-214630</wp:posOffset>
                </wp:positionH>
                <wp:positionV relativeFrom="paragraph">
                  <wp:posOffset>100330</wp:posOffset>
                </wp:positionV>
                <wp:extent cx="2083435" cy="442595"/>
                <wp:effectExtent l="12065" t="14605" r="9525" b="9525"/>
                <wp:wrapNone/>
                <wp:docPr id="1" name="Text Box 4"/>
                <wp:cNvGraphicFramePr/>
                <a:graphic xmlns:a="http://schemas.openxmlformats.org/drawingml/2006/main">
                  <a:graphicData uri="http://schemas.microsoft.com/office/word/2010/wordprocessingShape">
                    <wps:wsp>
                      <wps:cNvSpPr txBox="1">
                        <a:spLocks noChangeArrowheads="1"/>
                      </wps:cNvSpPr>
                      <wps:spPr bwMode="auto">
                        <a:xfrm>
                          <a:off x="0" y="0"/>
                          <a:ext cx="2083435" cy="442595"/>
                        </a:xfrm>
                        <a:prstGeom prst="rect">
                          <a:avLst/>
                        </a:prstGeom>
                        <a:solidFill>
                          <a:srgbClr val="FFFFFF"/>
                        </a:solidFill>
                        <a:ln w="12700">
                          <a:solidFill>
                            <a:srgbClr val="000000"/>
                          </a:solidFill>
                          <a:miter lim="800000"/>
                        </a:ln>
                      </wps:spPr>
                      <wps:txb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wps:txbx>
                      <wps:bodyPr rot="0" vert="horz" wrap="square" lIns="91440" tIns="45720" rIns="91440" bIns="45720" anchor="t" anchorCtr="0" upright="1">
                        <a:noAutofit/>
                      </wps:bodyPr>
                    </wps:wsp>
                  </a:graphicData>
                </a:graphic>
              </wp:anchor>
            </w:drawing>
          </mc:Choice>
          <mc:Fallback>
            <w:pict>
              <v:shape id="Text Box 4" o:spid="_x0000_s1026" o:spt="202" type="#_x0000_t202" style="position:absolute;left:0pt;margin-left:-16.9pt;margin-top:7.9pt;height:34.85pt;width:164.05pt;z-index:251659264;mso-width-relative:page;mso-height-relative:page;" fillcolor="#FFFFFF" filled="t" stroked="t" coordsize="21600,21600" o:gfxdata="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">
                <v:fill on="t" focussize="0,0"/>
                <v:stroke weight="1pt" color="#000000" miterlimit="8" joinstyle="miter"/>
                <v:imagedata o:title=""/>
                <o:lock v:ext="edit" aspectratio="f"/>
                <v:textbox>
                  <w:txbxContent>
                    <w:p>
                      <w:pPr>
                        <w:spacing w:line="240" w:lineRule="exact"/>
                        <w:jc w:val="center"/>
                        <w:rPr>
                          <w:rFonts w:hint="eastAsia" w:ascii="宋体" w:hAnsi="宋体"/>
                          <w:b/>
                          <w:bCs/>
                          <w:sz w:val="24"/>
                        </w:rPr>
                      </w:pPr>
                      <w:r>
                        <w:rPr>
                          <w:rFonts w:hint="eastAsia" w:ascii="宋体" w:hAnsi="宋体"/>
                          <w:b/>
                          <w:bCs/>
                          <w:sz w:val="24"/>
                        </w:rPr>
                        <w:t>第十九届“振兴杯”全国</w:t>
                      </w:r>
                    </w:p>
                    <w:p>
                      <w:pPr>
                        <w:jc w:val="center"/>
                        <w:rPr>
                          <w:sz w:val="24"/>
                        </w:rPr>
                      </w:pPr>
                      <w:r>
                        <w:rPr>
                          <w:rFonts w:hint="eastAsia" w:ascii="宋体" w:hAnsi="宋体"/>
                          <w:b/>
                          <w:bCs/>
                          <w:sz w:val="24"/>
                        </w:rPr>
                        <w:t>青年职业技能大赛技术文件</w:t>
                      </w:r>
                    </w:p>
                  </w:txbxContent>
                </v:textbox>
              </v:shape>
            </w:pict>
          </mc:Fallback>
        </mc:AlternateContent>
      </w:r>
    </w:p>
    <w:p>
      <w:pPr>
        <w:jc w:val="center"/>
        <w:rPr>
          <w:rFonts w:ascii="华文新魏" w:eastAsia="华文新魏"/>
          <w:sz w:val="52"/>
          <w:szCs w:val="52"/>
        </w:rPr>
      </w:pPr>
    </w:p>
    <w:p>
      <w:pPr>
        <w:jc w:val="center"/>
        <w:rPr>
          <w:rFonts w:ascii="华文新魏" w:eastAsia="华文新魏"/>
          <w:sz w:val="52"/>
          <w:szCs w:val="52"/>
        </w:rPr>
      </w:pPr>
    </w:p>
    <w:p>
      <w:pPr>
        <w:jc w:val="center"/>
        <w:rPr>
          <w:rFonts w:hint="eastAsia" w:ascii="黑体" w:hAnsi="黑体" w:eastAsia="黑体" w:cs="黑体"/>
          <w:sz w:val="52"/>
          <w:szCs w:val="52"/>
        </w:rPr>
      </w:pPr>
      <w:r>
        <w:rPr>
          <w:rFonts w:hint="eastAsia" w:ascii="黑体" w:hAnsi="黑体" w:eastAsia="黑体" w:cs="黑体"/>
          <w:sz w:val="52"/>
          <w:szCs w:val="52"/>
        </w:rPr>
        <w:t>汽车装调工赛项</w:t>
      </w:r>
    </w:p>
    <w:p>
      <w:pPr>
        <w:jc w:val="center"/>
        <w:rPr>
          <w:rFonts w:ascii="华文新魏" w:eastAsia="华文新魏"/>
          <w:sz w:val="72"/>
          <w:szCs w:val="72"/>
        </w:rPr>
      </w:pPr>
      <w:r>
        <w:rPr>
          <w:rFonts w:hint="eastAsia" w:ascii="黑体" w:hAnsi="黑体" w:eastAsia="黑体" w:cs="黑体"/>
          <w:sz w:val="52"/>
          <w:szCs w:val="52"/>
        </w:rPr>
        <w:t>技术文件（学生组）</w:t>
      </w: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jc w:val="center"/>
        <w:rPr>
          <w:rFonts w:ascii="华文新魏" w:eastAsia="华文新魏"/>
          <w:sz w:val="52"/>
          <w:szCs w:val="52"/>
        </w:rPr>
      </w:pPr>
    </w:p>
    <w:p>
      <w:pPr>
        <w:pStyle w:val="2"/>
      </w:pPr>
    </w:p>
    <w:p>
      <w:pPr>
        <w:jc w:val="center"/>
        <w:rPr>
          <w:rFonts w:hint="eastAsia" w:ascii="黑体" w:hAnsi="黑体" w:eastAsia="黑体" w:cs="黑体"/>
          <w:b/>
          <w:sz w:val="32"/>
          <w:szCs w:val="32"/>
        </w:rPr>
      </w:pPr>
      <w:r>
        <w:rPr>
          <w:rFonts w:hint="eastAsia" w:ascii="黑体" w:hAnsi="黑体" w:eastAsia="黑体" w:cs="黑体"/>
          <w:b/>
          <w:sz w:val="32"/>
          <w:szCs w:val="32"/>
        </w:rPr>
        <w:t>第十九届“振兴杯”全国青年职业技能大赛组委会</w:t>
      </w:r>
    </w:p>
    <w:p>
      <w:pPr>
        <w:jc w:val="center"/>
        <w:rPr>
          <w:rFonts w:hint="eastAsia" w:ascii="黑体" w:hAnsi="黑体" w:eastAsia="黑体" w:cs="黑体"/>
          <w:b/>
          <w:sz w:val="32"/>
          <w:szCs w:val="32"/>
        </w:rPr>
      </w:pPr>
      <w:r>
        <w:rPr>
          <w:rFonts w:hint="eastAsia" w:ascii="黑体" w:hAnsi="黑体" w:eastAsia="黑体" w:cs="黑体"/>
          <w:b/>
          <w:sz w:val="32"/>
          <w:szCs w:val="32"/>
        </w:rPr>
        <w:t xml:space="preserve">2026 年 </w:t>
      </w:r>
      <w:r>
        <w:rPr>
          <w:rFonts w:hint="eastAsia" w:ascii="黑体" w:hAnsi="黑体" w:eastAsia="黑体" w:cs="黑体"/>
          <w:b/>
          <w:sz w:val="32"/>
          <w:szCs w:val="32"/>
          <w:lang w:val="en-US" w:eastAsia="zh-CN"/>
        </w:rPr>
        <w:t>7</w:t>
      </w:r>
      <w:bookmarkStart w:id="2" w:name="_GoBack"/>
      <w:bookmarkEnd w:id="2"/>
      <w:r>
        <w:rPr>
          <w:rFonts w:hint="eastAsia" w:ascii="黑体" w:hAnsi="黑体" w:eastAsia="黑体" w:cs="黑体"/>
          <w:b/>
          <w:sz w:val="32"/>
          <w:szCs w:val="32"/>
        </w:rPr>
        <w:t xml:space="preserve"> 月</w:t>
      </w:r>
    </w:p>
    <w:p>
      <w:pPr>
        <w:spacing w:line="500" w:lineRule="exact"/>
        <w:rPr>
          <w:b/>
          <w:bCs/>
          <w:sz w:val="36"/>
          <w:szCs w:val="36"/>
        </w:rPr>
      </w:pPr>
    </w:p>
    <w:p>
      <w:pPr>
        <w:spacing w:line="500" w:lineRule="exact"/>
        <w:jc w:val="center"/>
        <w:rPr>
          <w:rFonts w:hint="eastAsia" w:ascii="黑体" w:hAnsi="黑体" w:eastAsia="黑体" w:cs="黑体"/>
          <w:b/>
          <w:bCs/>
          <w:sz w:val="32"/>
          <w:szCs w:val="32"/>
        </w:rPr>
      </w:pPr>
      <w:r>
        <w:rPr>
          <w:rFonts w:hint="eastAsia" w:ascii="黑体" w:hAnsi="黑体" w:eastAsia="黑体" w:cs="黑体"/>
          <w:b/>
          <w:bCs/>
          <w:sz w:val="32"/>
          <w:szCs w:val="32"/>
        </w:rPr>
        <w:t>第十九届“振兴杯”全国青年职业技能大赛</w:t>
      </w:r>
    </w:p>
    <w:p>
      <w:pPr>
        <w:spacing w:line="500" w:lineRule="exact"/>
        <w:jc w:val="center"/>
        <w:rPr>
          <w:rFonts w:hint="eastAsia" w:ascii="宋体" w:hAnsi="华文细黑" w:eastAsia="黑体"/>
          <w:b/>
          <w:bCs/>
          <w:sz w:val="32"/>
          <w:szCs w:val="32"/>
        </w:rPr>
      </w:pPr>
      <w:r>
        <w:rPr>
          <w:rFonts w:hint="eastAsia" w:ascii="黑体" w:hAnsi="黑体" w:eastAsia="黑体" w:cs="黑体"/>
          <w:b/>
          <w:bCs/>
          <w:sz w:val="32"/>
          <w:szCs w:val="32"/>
        </w:rPr>
        <w:t>汽车装调工赛项决赛技术文件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一、竞赛标准</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汽车装调工赛项</w:t>
      </w:r>
      <w:r>
        <w:rPr>
          <w:rFonts w:hint="eastAsia" w:ascii="Noto Sans Mono CJK JP Regular" w:hAnsi="Noto Sans Mono CJK JP Regular" w:eastAsia="华文细黑" w:cs="Noto Sans Mono CJK JP Regular"/>
          <w:kern w:val="0"/>
          <w:sz w:val="24"/>
          <w:szCs w:val="22"/>
        </w:rPr>
        <w:t>的技术标准是以《汽车装调工国家职业技能标准》中级工(国家职业资格四级)为基础，并涵盖国家职业资格四级以下和部分高级工（国家职业资格三级）的内容。</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二、命题原则</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rPr>
        <w:t>依据《</w:t>
      </w:r>
      <w:r>
        <w:rPr>
          <w:rFonts w:ascii="Noto Sans Mono CJK JP Regular" w:hAnsi="Noto Sans Mono CJK JP Regular" w:eastAsia="华文细黑" w:cs="Noto Sans Mono CJK JP Regular"/>
          <w:kern w:val="0"/>
          <w:sz w:val="24"/>
          <w:szCs w:val="22"/>
        </w:rPr>
        <w:t>汽车装调工国家职业技能标准</w:t>
      </w:r>
      <w:r>
        <w:rPr>
          <w:rFonts w:hint="eastAsia" w:ascii="Noto Sans Mono CJK JP Regular" w:hAnsi="Noto Sans Mono CJK JP Regular" w:eastAsia="华文细黑" w:cs="Noto Sans Mono CJK JP Regular"/>
          <w:kern w:val="0"/>
          <w:sz w:val="24"/>
          <w:szCs w:val="22"/>
        </w:rPr>
        <w:t>》，注重基本技能和专业化操作，注重操作过程和质量控制，注重安全生产以及职业道德和标准规范，体现现代技术，结合生产实际，考核职业综合能力，并对技能人才培养起到示范指导作用。</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三、竞赛方式、时间与成绩计算</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竞赛包括理论知识和实际操作竞赛两部分，由1名选手独立完成。</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（二）竞赛时间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1．理论知识竞赛时间80分钟。</w:t>
      </w:r>
    </w:p>
    <w:p>
      <w:pPr>
        <w:spacing w:line="360" w:lineRule="auto"/>
        <w:ind w:firstLine="480" w:firstLineChars="200"/>
        <w:rPr>
          <w:rFonts w:ascii="Calibri" w:hAnsi="Calibri" w:eastAsia="华文细黑"/>
          <w:sz w:val="24"/>
        </w:rPr>
      </w:pPr>
      <w:r>
        <w:rPr>
          <w:rFonts w:hint="eastAsia" w:ascii="Noto Sans Mono CJK JP Regular" w:hAnsi="Noto Sans Mono CJK JP Regular" w:eastAsia="华文细黑" w:cs="Noto Sans Mono CJK JP Regular"/>
          <w:kern w:val="0"/>
          <w:sz w:val="24"/>
          <w:szCs w:val="22"/>
        </w:rPr>
        <w:t>2．实际操作竞赛总时间180分钟，为连续操作时长，选手需在规定时间内完成全部实操模块任务。</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（三）成绩计算</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竞赛总成绩由理论知识和实际操作比赛两部分成绩组成。竞赛总成绩作为参赛队伍名次排序的依据。</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若参赛队伍总成绩相同，实际操作比赛成绩高的队伍名次在前。参赛队伍总成绩和实际操作比赛成绩均相同，实际操作模块二（</w:t>
      </w:r>
      <w:r>
        <w:rPr>
          <w:rFonts w:ascii="Noto Sans Mono CJK JP Regular" w:hAnsi="Noto Sans Mono CJK JP Regular" w:eastAsia="华文细黑" w:cs="Noto Sans Mono CJK JP Regular"/>
          <w:kern w:val="0"/>
          <w:sz w:val="24"/>
          <w:szCs w:val="22"/>
        </w:rPr>
        <w:t>新能源汽车驱动总成装调与质量检验</w:t>
      </w:r>
      <w:r>
        <w:rPr>
          <w:rFonts w:hint="eastAsia" w:ascii="Noto Sans Mono CJK JP Regular" w:hAnsi="Noto Sans Mono CJK JP Regular" w:eastAsia="华文细黑" w:cs="Noto Sans Mono CJK JP Regular"/>
          <w:kern w:val="0"/>
          <w:sz w:val="24"/>
          <w:szCs w:val="22"/>
        </w:rPr>
        <w:t>）得分高的队伍名次在前。参赛队伍总成绩、实际操作比赛成绩和实际操作模块二比赛成绩均相同，则按照实际操作模块二各得分子项的次序进行优先排序，依次比较各子项分数，分数不相同的子项，该子项得分高的队伍名次在前。如果模块二得分子项仍旧无法分出成绩名次，则依据同样的办法进行模块一得分的比较来确定名次。</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1．理论知识竞赛（计算机答题）满分100分，占总成绩的30％（其中时事政治题占总成绩的10％）。</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2．实际操作成绩满分100分，占总成绩的70％。其中模块一“</w:t>
      </w:r>
      <w:r>
        <w:rPr>
          <w:rFonts w:ascii="Noto Sans Mono CJK JP Regular" w:hAnsi="Noto Sans Mono CJK JP Regular" w:eastAsia="华文细黑" w:cs="Noto Sans Mono CJK JP Regular"/>
          <w:kern w:val="0"/>
          <w:sz w:val="24"/>
          <w:szCs w:val="22"/>
        </w:rPr>
        <w:t>新能源汽车整车装调与故障分析</w:t>
      </w:r>
      <w:r>
        <w:rPr>
          <w:rFonts w:hint="eastAsia" w:ascii="Noto Sans Mono CJK JP Regular" w:hAnsi="Noto Sans Mono CJK JP Regular" w:eastAsia="华文细黑" w:cs="Noto Sans Mono CJK JP Regular"/>
          <w:kern w:val="0"/>
          <w:sz w:val="24"/>
          <w:szCs w:val="22"/>
        </w:rPr>
        <w:t>”满分40分，模块二“</w:t>
      </w:r>
      <w:r>
        <w:rPr>
          <w:rFonts w:ascii="Noto Sans Mono CJK JP Regular" w:hAnsi="Noto Sans Mono CJK JP Regular" w:eastAsia="华文细黑" w:cs="Noto Sans Mono CJK JP Regular"/>
          <w:kern w:val="0"/>
          <w:sz w:val="24"/>
          <w:szCs w:val="22"/>
        </w:rPr>
        <w:t>新能源汽车驱动总成装调与质量检验</w:t>
      </w:r>
      <w:r>
        <w:rPr>
          <w:rFonts w:hint="eastAsia" w:ascii="Noto Sans Mono CJK JP Regular" w:hAnsi="Noto Sans Mono CJK JP Regular" w:eastAsia="华文细黑" w:cs="Noto Sans Mono CJK JP Regular"/>
          <w:kern w:val="0"/>
          <w:sz w:val="24"/>
          <w:szCs w:val="22"/>
        </w:rPr>
        <w:t>”满分60分。</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四、竞赛范围、比重、类型及其它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（一）理论知识竞赛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以竞赛题库作为参考资料，决赛前两个月在团中央网站上公布理论知识竞赛题库（不含时事政治题），时事政治题单独命题。题库内容涵盖新能源汽车基础构造、零部件知识、检测技术规范、电气原理、安全生产、质量管理及行业相关国家/行业标准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2．试题题型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竞赛试题包括判断题与单项选择题两种类型。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理论知识竞赛采用计算机软件答题。决赛前一个月可以在大赛官网上模拟答题。</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（二）实际操作竞赛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本次实操竞赛以操作技能为主，职业素养及安全文明生产在实际操作比赛过程中进行考查，不再单独命题。</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1.试题范围</w:t>
      </w:r>
    </w:p>
    <w:p>
      <w:pPr>
        <w:spacing w:line="360" w:lineRule="auto"/>
        <w:ind w:firstLine="480" w:firstLineChars="200"/>
        <w:rPr>
          <w:rFonts w:hint="eastAsia" w:ascii="Noto Sans Mono CJK JP Regular" w:hAnsi="Noto Sans Mono CJK JP Regular" w:eastAsia="华文细黑" w:cs="Noto Sans Mono CJK JP Regular"/>
          <w:b/>
          <w:kern w:val="0"/>
          <w:sz w:val="24"/>
          <w:szCs w:val="22"/>
        </w:rPr>
      </w:pPr>
      <w:r>
        <w:rPr>
          <w:rFonts w:hint="eastAsia" w:ascii="Noto Sans Mono CJK JP Regular" w:hAnsi="Noto Sans Mono CJK JP Regular" w:eastAsia="华文细黑" w:cs="Noto Sans Mono CJK JP Regular"/>
          <w:b/>
          <w:kern w:val="0"/>
          <w:sz w:val="24"/>
          <w:szCs w:val="22"/>
        </w:rPr>
        <w:t>（1）模块一 新能源汽车整车装调与故障分析</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按照竞赛组委会提供的竞赛实训平台、技术资料及职业技能操作规范，参赛选手完成以下工作任务</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）新能源汽车装调</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作业内容包括灯具总成、轮胎总成、新能源汽车高压系统部件、空调系统总成等部件装配与调试；完成冷却液、制动液等工作介质液位检查与状态核验</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2）新能源汽车电控系统质量检验与故障诊断</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bookmarkStart w:id="0" w:name="OLE_LINK3"/>
      <w:bookmarkStart w:id="1" w:name="OLE_LINK2"/>
      <w:r>
        <w:rPr>
          <w:rFonts w:ascii="Noto Sans Mono CJK JP Regular" w:hAnsi="Noto Sans Mono CJK JP Regular" w:eastAsia="华文细黑" w:cs="Noto Sans Mono CJK JP Regular"/>
          <w:kern w:val="0"/>
          <w:sz w:val="24"/>
          <w:szCs w:val="22"/>
        </w:rPr>
        <w:t>作业内容包括对新能源汽车电池管理系统、整车控制器、集成动力控制单元、高低压充电系统、车身控制模块、灯光控制系统、车载摄像感知系统、车载网关系统等开展功能检测、故障诊断与故障判定；完成指定电控系统数据流读取与状态分析</w:t>
      </w:r>
      <w:r>
        <w:rPr>
          <w:rFonts w:hint="eastAsia" w:ascii="Noto Sans Mono CJK JP Regular" w:hAnsi="Noto Sans Mono CJK JP Regular" w:eastAsia="华文细黑" w:cs="Noto Sans Mono CJK JP Regular"/>
          <w:kern w:val="0"/>
          <w:sz w:val="24"/>
          <w:szCs w:val="22"/>
        </w:rPr>
        <w:t>。</w:t>
      </w:r>
    </w:p>
    <w:bookmarkEnd w:id="0"/>
    <w:bookmarkEnd w:id="1"/>
    <w:p>
      <w:pPr>
        <w:spacing w:line="360" w:lineRule="auto"/>
        <w:ind w:firstLine="480" w:firstLineChars="200"/>
        <w:rPr>
          <w:rFonts w:hint="eastAsia" w:ascii="Noto Sans Mono CJK JP Regular" w:hAnsi="Noto Sans Mono CJK JP Regular" w:eastAsia="华文细黑" w:cs="Noto Sans Mono CJK JP Regular"/>
          <w:b/>
          <w:kern w:val="0"/>
          <w:sz w:val="24"/>
          <w:szCs w:val="22"/>
        </w:rPr>
      </w:pPr>
      <w:r>
        <w:rPr>
          <w:rFonts w:hint="eastAsia" w:ascii="Noto Sans Mono CJK JP Regular" w:hAnsi="Noto Sans Mono CJK JP Regular" w:eastAsia="华文细黑" w:cs="Noto Sans Mono CJK JP Regular"/>
          <w:b/>
          <w:kern w:val="0"/>
          <w:sz w:val="24"/>
          <w:szCs w:val="22"/>
        </w:rPr>
        <w:t>（2）模块二 新能源汽车驱动总成装调与质量检验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按照竞赛组委会提供的竞赛实训平台、技术文件及技能操作规范，参赛选手完成以下工作任务</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1</w:t>
      </w:r>
      <w:r>
        <w:rPr>
          <w:rFonts w:hint="eastAsia" w:ascii="Noto Sans Mono CJK JP Regular" w:hAnsi="Noto Sans Mono CJK JP Regular" w:eastAsia="华文细黑" w:cs="Noto Sans Mono CJK JP Regular"/>
          <w:kern w:val="0"/>
          <w:sz w:val="24"/>
          <w:szCs w:val="22"/>
        </w:rPr>
        <w:t>）驱动电机与减速器总成装调</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包括驱动电机转子总成、定子总成、前后端盖、接线盒与接线柱、旋转变压器总成、高低压线束、前后轴承等零部件拆解拆装；完成减速器零部件清洁、组件装配。按照工艺规范流程完成驱动电机总成拆解、零部件清洁、状态检测、总成复装与间隙调试</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2</w:t>
      </w:r>
      <w:r>
        <w:rPr>
          <w:rFonts w:hint="eastAsia" w:ascii="Noto Sans Mono CJK JP Regular" w:hAnsi="Noto Sans Mono CJK JP Regular" w:eastAsia="华文细黑" w:cs="Noto Sans Mono CJK JP Regular"/>
          <w:kern w:val="0"/>
          <w:sz w:val="24"/>
          <w:szCs w:val="22"/>
        </w:rPr>
        <w:t>）驱动电机总成性能与状态检测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w:t>
      </w:r>
      <w:r>
        <w:rPr>
          <w:rFonts w:hint="eastAsia" w:ascii="Noto Sans Mono CJK JP Regular" w:hAnsi="Noto Sans Mono CJK JP Regular" w:eastAsia="华文细黑" w:cs="Noto Sans Mono CJK JP Regular"/>
          <w:kern w:val="0"/>
          <w:sz w:val="24"/>
          <w:szCs w:val="22"/>
        </w:rPr>
        <w:t>包括</w:t>
      </w:r>
      <w:r>
        <w:rPr>
          <w:rFonts w:ascii="Noto Sans Mono CJK JP Regular" w:hAnsi="Noto Sans Mono CJK JP Regular" w:eastAsia="华文细黑" w:cs="Noto Sans Mono CJK JP Regular"/>
          <w:kern w:val="0"/>
          <w:sz w:val="24"/>
          <w:szCs w:val="22"/>
        </w:rPr>
        <w:t>借助专用检测设备及量具，开展电机零部件与总成技术状态检测；主要包括定子绕组与温度传感器间绝缘电阻检测、磁通量检测、总成气密性检测、电机径向间隙</w:t>
      </w:r>
      <w:r>
        <w:rPr>
          <w:rFonts w:hint="eastAsia" w:ascii="Noto Sans Mono CJK JP Regular" w:hAnsi="Noto Sans Mono CJK JP Regular" w:eastAsia="华文细黑" w:cs="Noto Sans Mono CJK JP Regular"/>
          <w:kern w:val="0"/>
          <w:sz w:val="24"/>
          <w:szCs w:val="22"/>
        </w:rPr>
        <w:t>与</w:t>
      </w:r>
      <w:r>
        <w:rPr>
          <w:rFonts w:ascii="Noto Sans Mono CJK JP Regular" w:hAnsi="Noto Sans Mono CJK JP Regular" w:eastAsia="华文细黑" w:cs="Noto Sans Mono CJK JP Regular"/>
          <w:kern w:val="0"/>
          <w:sz w:val="24"/>
          <w:szCs w:val="22"/>
        </w:rPr>
        <w:t>轴向间隙检测、电机轴伸径向圆跳动检测、冷却系统气密性检测等项目</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rPr>
        <w:t>）关键零部件形位精度检测</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ascii="Noto Sans Mono CJK JP Regular" w:hAnsi="Noto Sans Mono CJK JP Regular" w:eastAsia="华文细黑" w:cs="Noto Sans Mono CJK JP Regular"/>
          <w:kern w:val="0"/>
          <w:sz w:val="24"/>
          <w:szCs w:val="22"/>
        </w:rPr>
        <w:t>作业内容</w:t>
      </w:r>
      <w:r>
        <w:rPr>
          <w:rFonts w:hint="eastAsia" w:ascii="Noto Sans Mono CJK JP Regular" w:hAnsi="Noto Sans Mono CJK JP Regular" w:eastAsia="华文细黑" w:cs="Noto Sans Mono CJK JP Regular"/>
          <w:kern w:val="0"/>
          <w:sz w:val="24"/>
          <w:szCs w:val="22"/>
        </w:rPr>
        <w:t>包括</w:t>
      </w:r>
      <w:r>
        <w:rPr>
          <w:rFonts w:ascii="Noto Sans Mono CJK JP Regular" w:hAnsi="Noto Sans Mono CJK JP Regular" w:eastAsia="华文细黑" w:cs="Noto Sans Mono CJK JP Regular"/>
          <w:kern w:val="0"/>
          <w:sz w:val="24"/>
          <w:szCs w:val="22"/>
        </w:rPr>
        <w:t>运用几何尺寸与形位公差检测平台、三维扫描仪等专用量具及检测设备，对传动系统关键零部件开展质量检验；采用几何量检测数据分析软件进行数据处理，并出具检测分析报告</w:t>
      </w:r>
      <w:r>
        <w:rPr>
          <w:rFonts w:hint="eastAsia" w:ascii="Noto Sans Mono CJK JP Regular" w:hAnsi="Noto Sans Mono CJK JP Regular" w:eastAsia="华文细黑" w:cs="Noto Sans Mono CJK JP Regular"/>
          <w:kern w:val="0"/>
          <w:sz w:val="24"/>
          <w:szCs w:val="22"/>
        </w:rPr>
        <w:t>。</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具体质量检验内容：a.差速器齿轮平面度检测；b.差速器齿轮安装后端面跳动检测；c.差速器齿轮安装后齿轮径向跳动检测；d.减速器输⼊轴径向全跳动检测；e.减速器输⼊轴圆柱度检测；f.减速器壳体三维扫描及指定要素精度检测；g.零部件检测数据整理与检测分析报告编制，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（4）职业素养</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在实操竞赛全程进行考查，参赛的选手需遵守下列要求：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1）按照工作任务书的要求，规范使用并妥善保护竞赛设备、检测量具，工具使用后按要求归位；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2）按照工作任务书要求，严格遵守赛场安全准则，按规定佩戴劳保用品，杜绝违章操作及安全隐患；</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3）按照工作任务书要求，遵守赛场纪律，文明参赛，保持工位及周边环境整洁；</w:t>
      </w:r>
    </w:p>
    <w:p>
      <w:pPr>
        <w:spacing w:line="360" w:lineRule="auto"/>
        <w:ind w:firstLine="480" w:firstLineChars="200"/>
      </w:pPr>
      <w:r>
        <w:rPr>
          <w:rFonts w:hint="eastAsia" w:ascii="Noto Sans Mono CJK JP Regular" w:hAnsi="Noto Sans Mono CJK JP Regular" w:eastAsia="华文细黑" w:cs="Noto Sans Mono CJK JP Regular"/>
          <w:kern w:val="0"/>
          <w:sz w:val="24"/>
          <w:szCs w:val="22"/>
        </w:rPr>
        <w:t>4）操作过程要求按照操作规程、诚信参赛原则进行。</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2.竞赛方式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采用现场实际操作方式。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3.样题公布方式</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样题于决赛前一个月在团中央网站公布。</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五、评判标准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（一）评判标准的制订原则</w:t>
      </w:r>
    </w:p>
    <w:p>
      <w:pPr>
        <w:spacing w:line="360" w:lineRule="auto"/>
        <w:ind w:firstLine="480" w:firstLineChars="200"/>
        <w:rPr>
          <w:rFonts w:hint="eastAsia" w:ascii="Noto Sans Mono CJK JP Regular" w:hAnsi="Noto Sans Mono CJK JP Regular" w:eastAsia="华文细黑" w:cs="Noto Sans Mono CJK JP Regular"/>
          <w:kern w:val="0"/>
          <w:sz w:val="24"/>
          <w:szCs w:val="22"/>
        </w:rPr>
      </w:pPr>
      <w:r>
        <w:rPr>
          <w:rFonts w:hint="eastAsia" w:ascii="Noto Sans Mono CJK JP Regular" w:hAnsi="Noto Sans Mono CJK JP Regular" w:eastAsia="华文细黑" w:cs="Noto Sans Mono CJK JP Regular"/>
          <w:kern w:val="0"/>
          <w:sz w:val="24"/>
          <w:szCs w:val="22"/>
        </w:rPr>
        <w:t>参照《汽车装调工》三级（国家职业资格三级）及以下的相关标准、新能源汽车相关国家/行业规范要求进行评判，全面评价参赛选手的职业能力，本着科学严谨、公正公平、可操作性强的原则制定评判标准。</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（二）实际操做比赛评判细则（评判指标）</w:t>
      </w:r>
    </w:p>
    <w:p>
      <w:pPr>
        <w:snapToGrid w:val="0"/>
        <w:spacing w:before="62" w:beforeLines="20" w:line="360" w:lineRule="auto"/>
        <w:ind w:firstLine="480" w:firstLineChars="200"/>
        <w:rPr>
          <w:rFonts w:hint="eastAsia" w:ascii="仿宋" w:hAnsi="仿宋" w:eastAsia="仿宋"/>
          <w:sz w:val="24"/>
          <w:lang w:val="zh-CN"/>
        </w:rPr>
      </w:pPr>
      <w:r>
        <w:rPr>
          <w:rFonts w:hint="eastAsia" w:ascii="Noto Sans Mono CJK JP Regular" w:hAnsi="Noto Sans Mono CJK JP Regular" w:eastAsia="华文细黑" w:cs="Noto Sans Mono CJK JP Regular"/>
          <w:kern w:val="0"/>
          <w:sz w:val="24"/>
          <w:szCs w:val="22"/>
          <w:lang w:val="zh-CN"/>
        </w:rPr>
        <w:t>评判比例如表1所示。</w:t>
      </w:r>
    </w:p>
    <w:p>
      <w:pPr>
        <w:tabs>
          <w:tab w:val="left" w:pos="3240"/>
        </w:tabs>
        <w:spacing w:line="360" w:lineRule="auto"/>
        <w:jc w:val="center"/>
        <w:rPr>
          <w:rFonts w:ascii="Calibri" w:hAnsi="Calibri" w:eastAsia="华文细黑"/>
          <w:sz w:val="24"/>
          <w:lang w:val="zh-CN"/>
        </w:rPr>
      </w:pPr>
      <w:r>
        <w:rPr>
          <w:rFonts w:hint="eastAsia" w:ascii="Calibri" w:hAnsi="Calibri" w:eastAsia="华文细黑"/>
          <w:b/>
          <w:bCs/>
          <w:sz w:val="24"/>
          <w:lang w:val="zh-CN"/>
        </w:rPr>
        <w:t>表1.  评判指标</w:t>
      </w:r>
    </w:p>
    <w:tbl>
      <w:tblPr>
        <w:tblStyle w:val="15"/>
        <w:tblW w:w="83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992"/>
        <w:gridCol w:w="3402"/>
        <w:gridCol w:w="993"/>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一级指标</w:t>
            </w:r>
          </w:p>
        </w:tc>
        <w:tc>
          <w:tcPr>
            <w:tcW w:w="992"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比例</w:t>
            </w:r>
          </w:p>
        </w:tc>
        <w:tc>
          <w:tcPr>
            <w:tcW w:w="3402"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二级指标</w:t>
            </w:r>
          </w:p>
        </w:tc>
        <w:tc>
          <w:tcPr>
            <w:tcW w:w="993"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比例</w:t>
            </w:r>
          </w:p>
        </w:tc>
        <w:tc>
          <w:tcPr>
            <w:tcW w:w="1077" w:type="dxa"/>
          </w:tcPr>
          <w:p>
            <w:pPr>
              <w:widowControl/>
              <w:jc w:val="center"/>
              <w:rPr>
                <w:rFonts w:hint="eastAsia" w:ascii="等线" w:hAnsi="等线" w:eastAsia="等线" w:cs="宋体"/>
                <w:b/>
                <w:bCs/>
                <w:color w:val="000000"/>
                <w:kern w:val="0"/>
                <w:sz w:val="22"/>
                <w:szCs w:val="22"/>
              </w:rPr>
            </w:pPr>
            <w:r>
              <w:rPr>
                <w:rFonts w:hint="eastAsia" w:ascii="等线" w:hAnsi="等线" w:eastAsia="等线" w:cs="宋体"/>
                <w:b/>
                <w:bCs/>
                <w:color w:val="000000"/>
                <w:kern w:val="0"/>
                <w:sz w:val="22"/>
                <w:szCs w:val="22"/>
              </w:rPr>
              <w:t>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模块一 新能源汽车整车装调与故障分析</w:t>
            </w:r>
          </w:p>
        </w:tc>
        <w:tc>
          <w:tcPr>
            <w:tcW w:w="992"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40%</w:t>
            </w: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新能源汽车装调</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20%</w:t>
            </w:r>
          </w:p>
        </w:tc>
        <w:tc>
          <w:tcPr>
            <w:tcW w:w="1077"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新能源汽车电控系统质量检验与故障诊断</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20%</w:t>
            </w:r>
          </w:p>
        </w:tc>
        <w:tc>
          <w:tcPr>
            <w:tcW w:w="1077"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模块二 新能源汽车驱动总成装调与检测</w:t>
            </w:r>
          </w:p>
        </w:tc>
        <w:tc>
          <w:tcPr>
            <w:tcW w:w="992"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60%</w:t>
            </w: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驱动电机与减速器总成装调</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30%</w:t>
            </w:r>
          </w:p>
        </w:tc>
        <w:tc>
          <w:tcPr>
            <w:tcW w:w="1077"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120分钟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驱动电机总成性能与状态检测</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w:t>
            </w:r>
          </w:p>
        </w:tc>
        <w:tc>
          <w:tcPr>
            <w:tcW w:w="1077"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关键零部件形位精度检测</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15%</w:t>
            </w:r>
          </w:p>
        </w:tc>
        <w:tc>
          <w:tcPr>
            <w:tcW w:w="1077"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职业素养</w:t>
            </w:r>
          </w:p>
        </w:tc>
        <w:tc>
          <w:tcPr>
            <w:tcW w:w="992" w:type="dxa"/>
            <w:vMerge w:val="restart"/>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设备工具管理</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Noto Sans Mono CJK JP Regular" w:hAnsi="Noto Sans Mono CJK JP Regular" w:eastAsia="华文细黑" w:cs="Noto Sans Mono CJK JP Regular"/>
                <w:kern w:val="0"/>
                <w:szCs w:val="21"/>
              </w:rPr>
            </w:pPr>
          </w:p>
        </w:tc>
        <w:tc>
          <w:tcPr>
            <w:tcW w:w="992" w:type="dxa"/>
            <w:vMerge w:val="continue"/>
            <w:vAlign w:val="center"/>
          </w:tcPr>
          <w:p>
            <w:pPr>
              <w:widowControl/>
              <w:jc w:val="center"/>
              <w:rPr>
                <w:rFonts w:hint="eastAsia" w:ascii="Noto Sans Mono CJK JP Regular" w:hAnsi="Noto Sans Mono CJK JP Regular" w:eastAsia="华文细黑" w:cs="Noto Sans Mono CJK JP Regular"/>
                <w:kern w:val="0"/>
                <w:szCs w:val="21"/>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安全操作规范</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等线" w:hAnsi="等线" w:eastAsia="等线" w:cs="宋体"/>
                <w:color w:val="000000"/>
                <w:kern w:val="0"/>
                <w:sz w:val="22"/>
                <w:szCs w:val="22"/>
              </w:rPr>
            </w:pPr>
          </w:p>
        </w:tc>
        <w:tc>
          <w:tcPr>
            <w:tcW w:w="992" w:type="dxa"/>
            <w:vMerge w:val="continue"/>
            <w:vAlign w:val="center"/>
          </w:tcPr>
          <w:p>
            <w:pPr>
              <w:widowControl/>
              <w:jc w:val="center"/>
              <w:rPr>
                <w:rFonts w:hint="eastAsia" w:ascii="等线" w:hAnsi="等线" w:eastAsia="等线" w:cs="宋体"/>
                <w:color w:val="000000"/>
                <w:kern w:val="0"/>
                <w:sz w:val="22"/>
                <w:szCs w:val="22"/>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赛场纪律执行</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vMerge w:val="continue"/>
            <w:vAlign w:val="center"/>
          </w:tcPr>
          <w:p>
            <w:pPr>
              <w:widowControl/>
              <w:jc w:val="left"/>
              <w:rPr>
                <w:rFonts w:hint="eastAsia" w:ascii="等线" w:hAnsi="等线" w:eastAsia="等线" w:cs="宋体"/>
                <w:color w:val="000000"/>
                <w:kern w:val="0"/>
                <w:sz w:val="22"/>
                <w:szCs w:val="22"/>
              </w:rPr>
            </w:pPr>
          </w:p>
        </w:tc>
        <w:tc>
          <w:tcPr>
            <w:tcW w:w="992" w:type="dxa"/>
            <w:vMerge w:val="continue"/>
            <w:vAlign w:val="center"/>
          </w:tcPr>
          <w:p>
            <w:pPr>
              <w:widowControl/>
              <w:jc w:val="center"/>
              <w:rPr>
                <w:rFonts w:hint="eastAsia" w:ascii="等线" w:hAnsi="等线" w:eastAsia="等线" w:cs="宋体"/>
                <w:color w:val="000000"/>
                <w:kern w:val="0"/>
                <w:sz w:val="22"/>
                <w:szCs w:val="22"/>
              </w:rPr>
            </w:pP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文明参赛要求</w:t>
            </w: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838" w:type="dxa"/>
          </w:tcPr>
          <w:p>
            <w:pPr>
              <w:widowControl/>
              <w:jc w:val="left"/>
              <w:rPr>
                <w:rFonts w:hint="eastAsia" w:ascii="等线" w:hAnsi="等线" w:eastAsia="等线" w:cs="宋体"/>
                <w:color w:val="000000"/>
                <w:kern w:val="0"/>
                <w:sz w:val="22"/>
                <w:szCs w:val="22"/>
              </w:rPr>
            </w:pPr>
            <w:r>
              <w:rPr>
                <w:rFonts w:hint="eastAsia" w:ascii="Noto Sans Mono CJK JP Regular" w:hAnsi="Noto Sans Mono CJK JP Regular" w:eastAsia="华文细黑" w:cs="Noto Sans Mono CJK JP Regular"/>
                <w:kern w:val="0"/>
                <w:szCs w:val="21"/>
              </w:rPr>
              <w:t>总分</w:t>
            </w:r>
          </w:p>
        </w:tc>
        <w:tc>
          <w:tcPr>
            <w:tcW w:w="992" w:type="dxa"/>
            <w:vAlign w:val="center"/>
          </w:tcPr>
          <w:p>
            <w:pPr>
              <w:widowControl/>
              <w:jc w:val="center"/>
              <w:rPr>
                <w:rFonts w:hint="eastAsia" w:ascii="等线" w:hAnsi="等线" w:eastAsia="等线" w:cs="宋体"/>
                <w:color w:val="000000"/>
                <w:kern w:val="0"/>
                <w:sz w:val="22"/>
                <w:szCs w:val="22"/>
              </w:rPr>
            </w:pPr>
            <w:r>
              <w:rPr>
                <w:rFonts w:hint="eastAsia" w:ascii="等线" w:hAnsi="等线" w:eastAsia="等线" w:cs="宋体"/>
                <w:color w:val="000000"/>
                <w:kern w:val="0"/>
                <w:sz w:val="22"/>
                <w:szCs w:val="22"/>
              </w:rPr>
              <w:t>100%</w:t>
            </w:r>
          </w:p>
        </w:tc>
        <w:tc>
          <w:tcPr>
            <w:tcW w:w="3402" w:type="dxa"/>
            <w:vAlign w:val="center"/>
          </w:tcPr>
          <w:p>
            <w:pPr>
              <w:widowControl/>
              <w:jc w:val="center"/>
              <w:rPr>
                <w:rFonts w:hint="eastAsia" w:ascii="Noto Sans Mono CJK JP Regular" w:hAnsi="Noto Sans Mono CJK JP Regular" w:eastAsia="华文细黑" w:cs="Noto Sans Mono CJK JP Regular"/>
                <w:kern w:val="0"/>
                <w:szCs w:val="21"/>
              </w:rPr>
            </w:pPr>
          </w:p>
        </w:tc>
        <w:tc>
          <w:tcPr>
            <w:tcW w:w="993"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100%</w:t>
            </w:r>
          </w:p>
        </w:tc>
        <w:tc>
          <w:tcPr>
            <w:tcW w:w="1077" w:type="dxa"/>
            <w:vAlign w:val="center"/>
          </w:tcPr>
          <w:p>
            <w:pPr>
              <w:widowControl/>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180分钟</w:t>
            </w:r>
          </w:p>
        </w:tc>
      </w:tr>
    </w:tbl>
    <w:p>
      <w:pPr>
        <w:spacing w:before="62" w:beforeLines="20" w:after="156" w:afterLines="50" w:line="360" w:lineRule="auto"/>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注：1. 职业素养部分不具体配分，但在工作过程中违反有关规定从参赛选手实际操作竞赛总得分中扣分，严重违规者以致停止比赛，并取消本竞赛模块分数。</w:t>
      </w:r>
    </w:p>
    <w:p>
      <w:pPr>
        <w:spacing w:before="62" w:beforeLines="20" w:after="156" w:afterLines="50" w:line="360" w:lineRule="auto"/>
        <w:ind w:firstLine="420" w:firstLineChars="200"/>
        <w:rPr>
          <w:rFonts w:hint="eastAsia" w:ascii="仿宋" w:hAnsi="仿宋" w:eastAsia="仿宋"/>
          <w:szCs w:val="21"/>
          <w:lang w:val="zh-CN"/>
        </w:rPr>
      </w:pPr>
      <w:r>
        <w:rPr>
          <w:rFonts w:hint="eastAsia" w:ascii="Noto Sans Mono CJK JP Regular" w:hAnsi="Noto Sans Mono CJK JP Regular" w:eastAsia="华文细黑" w:cs="Noto Sans Mono CJK JP Regular"/>
          <w:kern w:val="0"/>
          <w:szCs w:val="21"/>
          <w:lang w:val="zh-CN"/>
        </w:rPr>
        <w:t>2. 实际竞赛过程中各指标所占比例可能有所微调。</w:t>
      </w:r>
    </w:p>
    <w:p>
      <w:pPr>
        <w:tabs>
          <w:tab w:val="left" w:pos="3240"/>
        </w:tabs>
        <w:spacing w:line="360" w:lineRule="auto"/>
        <w:ind w:firstLine="480" w:firstLineChars="200"/>
        <w:rPr>
          <w:rFonts w:hint="eastAsia" w:ascii="仿宋" w:hAnsi="仿宋" w:eastAsia="仿宋"/>
          <w:b/>
          <w:bCs/>
          <w:sz w:val="24"/>
        </w:rPr>
      </w:pPr>
      <w:r>
        <w:rPr>
          <w:rFonts w:hint="eastAsia" w:ascii="Calibri" w:hAnsi="Calibri" w:eastAsia="华文细黑"/>
          <w:b/>
          <w:bCs/>
          <w:sz w:val="24"/>
        </w:rPr>
        <w:t>（三）评判方法</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ascii="Noto Sans Mono CJK JP Regular" w:hAnsi="Noto Sans Mono CJK JP Regular" w:eastAsia="华文细黑" w:cs="Noto Sans Mono CJK JP Regular"/>
          <w:kern w:val="0"/>
          <w:sz w:val="24"/>
          <w:szCs w:val="22"/>
          <w:lang w:val="zh-CN"/>
        </w:rPr>
        <w:t>评分采取客观评判为主的方式，针对操作过程中在各个关键点所应呈现的测量方法、技术指标和实现的功能是否符合任务书的设计要求，列出各评判项、评判标准、测试方法以及技术指标进行评判。具体评分方法如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1</w:t>
      </w: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赛项裁判组负责赛项成绩评定工作，分现场裁判和评分裁判，现场裁判对检测数据和操作行为进行记录；评分裁判对数据和结果进行评分和统分等。</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2</w:t>
      </w:r>
      <w:r>
        <w:rPr>
          <w:rFonts w:hint="eastAsia" w:ascii="Noto Sans Mono CJK JP Regular" w:hAnsi="Noto Sans Mono CJK JP Regular" w:eastAsia="华文细黑" w:cs="Noto Sans Mono CJK JP Regular"/>
          <w:kern w:val="0"/>
          <w:sz w:val="24"/>
          <w:szCs w:val="22"/>
          <w:lang w:val="zh-CN"/>
        </w:rPr>
        <w:t>）</w:t>
      </w:r>
      <w:r>
        <w:rPr>
          <w:rFonts w:ascii="Noto Sans Mono CJK JP Regular" w:hAnsi="Noto Sans Mono CJK JP Regular" w:eastAsia="华文细黑" w:cs="Noto Sans Mono CJK JP Regular"/>
          <w:kern w:val="0"/>
          <w:sz w:val="24"/>
          <w:szCs w:val="22"/>
          <w:lang w:val="zh-CN"/>
        </w:rPr>
        <w:t>赛前对裁判进行统一标准的培训。</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六、实际操作竞赛场地与设施</w:t>
      </w:r>
    </w:p>
    <w:p>
      <w:pPr>
        <w:tabs>
          <w:tab w:val="left" w:pos="3240"/>
        </w:tabs>
        <w:spacing w:line="360" w:lineRule="auto"/>
        <w:ind w:firstLine="480" w:firstLineChars="200"/>
        <w:rPr>
          <w:rFonts w:ascii="Calibri" w:hAnsi="Calibri" w:eastAsia="华文细黑"/>
          <w:b/>
          <w:bCs/>
          <w:sz w:val="24"/>
        </w:rPr>
      </w:pPr>
      <w:r>
        <w:rPr>
          <w:rFonts w:hint="eastAsia" w:ascii="Calibri" w:hAnsi="Calibri" w:eastAsia="华文细黑"/>
          <w:b/>
          <w:bCs/>
          <w:sz w:val="24"/>
        </w:rPr>
        <w:t>（一）竞赛场地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 竞赛工位</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单人单工位操作，操作竞赛模块一每工位</w:t>
      </w:r>
      <w:r>
        <w:rPr>
          <w:rFonts w:hint="eastAsia" w:ascii="Noto Sans Mono CJK JP Regular" w:hAnsi="Noto Sans Mono CJK JP Regular" w:eastAsia="华文细黑" w:cs="Noto Sans Mono CJK JP Regular"/>
          <w:kern w:val="0"/>
          <w:sz w:val="24"/>
          <w:szCs w:val="22"/>
        </w:rPr>
        <w:t>28</w:t>
      </w:r>
      <w:r>
        <w:rPr>
          <w:rFonts w:hint="eastAsia" w:ascii="Noto Sans Mono CJK JP Regular" w:hAnsi="Noto Sans Mono CJK JP Regular" w:eastAsia="华文细黑" w:cs="Noto Sans Mono CJK JP Regular"/>
          <w:kern w:val="0"/>
          <w:sz w:val="24"/>
          <w:szCs w:val="22"/>
          <w:lang w:val="zh-CN"/>
        </w:rPr>
        <w:t>平方米（</w:t>
      </w:r>
      <w:r>
        <w:rPr>
          <w:rFonts w:hint="eastAsia" w:ascii="Noto Sans Mono CJK JP Regular" w:hAnsi="Noto Sans Mono CJK JP Regular" w:eastAsia="华文细黑" w:cs="Noto Sans Mono CJK JP Regular"/>
          <w:kern w:val="0"/>
          <w:sz w:val="24"/>
          <w:szCs w:val="22"/>
        </w:rPr>
        <w:t>4</w:t>
      </w:r>
      <w:r>
        <w:rPr>
          <w:rFonts w:hint="eastAsia" w:ascii="Noto Sans Mono CJK JP Regular" w:hAnsi="Noto Sans Mono CJK JP Regular" w:eastAsia="华文细黑" w:cs="Noto Sans Mono CJK JP Regular"/>
          <w:kern w:val="0"/>
          <w:sz w:val="24"/>
          <w:szCs w:val="22"/>
          <w:lang w:val="zh-CN"/>
        </w:rPr>
        <w:t>米</w:t>
      </w:r>
      <w:r>
        <w:rPr>
          <w:rFonts w:hint="eastAsia" w:ascii="Segoe UI Symbol" w:hAnsi="Segoe UI Symbol" w:eastAsia="华文细黑" w:cs="Segoe UI Symbol"/>
          <w:kern w:val="0"/>
          <w:sz w:val="24"/>
          <w:szCs w:val="22"/>
          <w:lang w:val="zh-CN"/>
        </w:rPr>
        <w:t>✕</w:t>
      </w:r>
      <w:r>
        <w:rPr>
          <w:rFonts w:hint="eastAsia" w:ascii="Noto Sans Mono CJK JP Regular" w:hAnsi="Noto Sans Mono CJK JP Regular" w:eastAsia="华文细黑" w:cs="Noto Sans Mono CJK JP Regular"/>
          <w:kern w:val="0"/>
          <w:sz w:val="24"/>
          <w:szCs w:val="22"/>
          <w:lang w:val="zh-CN"/>
        </w:rPr>
        <w:t>7米），操作竞赛模块二每工位</w:t>
      </w:r>
      <w:r>
        <w:rPr>
          <w:rFonts w:hint="eastAsia" w:ascii="Noto Sans Mono CJK JP Regular" w:hAnsi="Noto Sans Mono CJK JP Regular" w:eastAsia="华文细黑" w:cs="Noto Sans Mono CJK JP Regular"/>
          <w:kern w:val="0"/>
          <w:sz w:val="24"/>
          <w:szCs w:val="22"/>
        </w:rPr>
        <w:t>15</w:t>
      </w:r>
      <w:r>
        <w:rPr>
          <w:rFonts w:hint="eastAsia" w:ascii="Noto Sans Mono CJK JP Regular" w:hAnsi="Noto Sans Mono CJK JP Regular" w:eastAsia="华文细黑" w:cs="Noto Sans Mono CJK JP Regular"/>
          <w:kern w:val="0"/>
          <w:sz w:val="24"/>
          <w:szCs w:val="22"/>
          <w:lang w:val="zh-CN"/>
        </w:rPr>
        <w:t>平方米（</w:t>
      </w:r>
      <w:r>
        <w:rPr>
          <w:rFonts w:hint="eastAsia" w:ascii="Noto Sans Mono CJK JP Regular" w:hAnsi="Noto Sans Mono CJK JP Regular" w:eastAsia="华文细黑" w:cs="Noto Sans Mono CJK JP Regular"/>
          <w:kern w:val="0"/>
          <w:sz w:val="24"/>
          <w:szCs w:val="22"/>
        </w:rPr>
        <w:t>5</w:t>
      </w:r>
      <w:r>
        <w:rPr>
          <w:rFonts w:hint="eastAsia" w:ascii="Noto Sans Mono CJK JP Regular" w:hAnsi="Noto Sans Mono CJK JP Regular" w:eastAsia="华文细黑" w:cs="Noto Sans Mono CJK JP Regular"/>
          <w:kern w:val="0"/>
          <w:sz w:val="24"/>
          <w:szCs w:val="22"/>
          <w:lang w:val="zh-CN"/>
        </w:rPr>
        <w:t>米×</w:t>
      </w:r>
      <w:r>
        <w:rPr>
          <w:rFonts w:hint="eastAsia" w:ascii="Noto Sans Mono CJK JP Regular" w:hAnsi="Noto Sans Mono CJK JP Regular" w:eastAsia="华文细黑" w:cs="Noto Sans Mono CJK JP Regular"/>
          <w:kern w:val="0"/>
          <w:sz w:val="24"/>
          <w:szCs w:val="22"/>
        </w:rPr>
        <w:t>3</w:t>
      </w:r>
      <w:r>
        <w:rPr>
          <w:rFonts w:hint="eastAsia" w:ascii="Noto Sans Mono CJK JP Regular" w:hAnsi="Noto Sans Mono CJK JP Regular" w:eastAsia="华文细黑" w:cs="Noto Sans Mono CJK JP Regular"/>
          <w:kern w:val="0"/>
          <w:sz w:val="24"/>
          <w:szCs w:val="22"/>
          <w:lang w:val="zh-CN"/>
        </w:rPr>
        <w:t>米），如示意图，工位最终布局按照比赛内容实际配置。</w:t>
      </w:r>
    </w:p>
    <w:p>
      <w:pPr>
        <w:rPr>
          <w:lang w:val="zh-CN"/>
        </w:rPr>
      </w:pPr>
      <w:r>
        <w:drawing>
          <wp:inline distT="0" distB="0" distL="0" distR="0">
            <wp:extent cx="1661160" cy="1799590"/>
            <wp:effectExtent l="0" t="0" r="0" b="0"/>
            <wp:docPr id="11289261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926187"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61476" cy="1800000"/>
                    </a:xfrm>
                    <a:prstGeom prst="rect">
                      <a:avLst/>
                    </a:prstGeom>
                  </pic:spPr>
                </pic:pic>
              </a:graphicData>
            </a:graphic>
          </wp:inline>
        </w:drawing>
      </w:r>
      <w:r>
        <w:rPr>
          <w:rFonts w:hint="eastAsia"/>
          <w:lang w:val="zh-CN"/>
        </w:rPr>
        <w:t xml:space="preserve">     </w:t>
      </w:r>
      <w:r>
        <w:drawing>
          <wp:inline distT="0" distB="0" distL="0" distR="0">
            <wp:extent cx="3097530" cy="1799590"/>
            <wp:effectExtent l="0" t="0" r="7620" b="0"/>
            <wp:docPr id="121454830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548309" name="图片 1"/>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097640" cy="1800000"/>
                    </a:xfrm>
                    <a:prstGeom prst="rect">
                      <a:avLst/>
                    </a:prstGeom>
                  </pic:spPr>
                </pic:pic>
              </a:graphicData>
            </a:graphic>
          </wp:inline>
        </w:drawing>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 赛场设施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竞赛赛场提供竞赛所需的操作台、椅子、计算机等设施，选手不得携带比赛无关物品与设备进入竞赛区域。</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 竞赛设备及技术参数见表2。</w:t>
      </w:r>
    </w:p>
    <w:p>
      <w:pPr>
        <w:ind w:firstLine="480" w:firstLineChars="200"/>
        <w:jc w:val="center"/>
        <w:rPr>
          <w:rFonts w:hint="eastAsia" w:ascii="Noto Sans Mono CJK JP Regular" w:hAnsi="Noto Sans Mono CJK JP Regular" w:eastAsia="华文细黑" w:cs="Noto Sans Mono CJK JP Regular"/>
          <w:sz w:val="24"/>
          <w:szCs w:val="22"/>
          <w:lang w:val="zh-CN"/>
        </w:rPr>
      </w:pPr>
      <w:r>
        <w:rPr>
          <w:rFonts w:hint="eastAsia" w:ascii="Noto Sans Mono CJK JP Regular" w:hAnsi="Noto Sans Mono CJK JP Regular" w:eastAsia="华文细黑" w:cs="Noto Sans Mono CJK JP Regular"/>
          <w:sz w:val="24"/>
          <w:szCs w:val="22"/>
          <w:lang w:val="zh-CN"/>
        </w:rPr>
        <w:t>表2 竞赛设备及技术参数</w:t>
      </w:r>
    </w:p>
    <w:tbl>
      <w:tblPr>
        <w:tblStyle w:val="14"/>
        <w:tblW w:w="8418" w:type="dxa"/>
        <w:tblInd w:w="0" w:type="dxa"/>
        <w:tblLayout w:type="fixed"/>
        <w:tblCellMar>
          <w:top w:w="0" w:type="dxa"/>
          <w:left w:w="108" w:type="dxa"/>
          <w:bottom w:w="0" w:type="dxa"/>
          <w:right w:w="108" w:type="dxa"/>
        </w:tblCellMar>
      </w:tblPr>
      <w:tblGrid>
        <w:gridCol w:w="721"/>
        <w:gridCol w:w="789"/>
        <w:gridCol w:w="387"/>
        <w:gridCol w:w="1134"/>
        <w:gridCol w:w="844"/>
        <w:gridCol w:w="4118"/>
        <w:gridCol w:w="425"/>
      </w:tblGrid>
      <w:tr>
        <w:tblPrEx>
          <w:tblCellMar>
            <w:top w:w="0" w:type="dxa"/>
            <w:left w:w="108" w:type="dxa"/>
            <w:bottom w:w="0" w:type="dxa"/>
            <w:right w:w="108" w:type="dxa"/>
          </w:tblCellMar>
        </w:tblPrEx>
        <w:trPr>
          <w:trHeight w:val="270" w:hRule="atLeast"/>
        </w:trPr>
        <w:tc>
          <w:tcPr>
            <w:tcW w:w="72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w:t>
            </w:r>
          </w:p>
        </w:tc>
        <w:tc>
          <w:tcPr>
            <w:tcW w:w="78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任务</w:t>
            </w:r>
          </w:p>
        </w:tc>
        <w:tc>
          <w:tcPr>
            <w:tcW w:w="38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序号</w:t>
            </w:r>
          </w:p>
        </w:tc>
        <w:tc>
          <w:tcPr>
            <w:tcW w:w="113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技术平台/清单</w:t>
            </w:r>
          </w:p>
        </w:tc>
        <w:tc>
          <w:tcPr>
            <w:tcW w:w="84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型号</w:t>
            </w:r>
          </w:p>
        </w:tc>
        <w:tc>
          <w:tcPr>
            <w:tcW w:w="41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技术参数</w:t>
            </w:r>
          </w:p>
        </w:tc>
        <w:tc>
          <w:tcPr>
            <w:tcW w:w="4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每工位配置数量</w:t>
            </w:r>
          </w:p>
        </w:tc>
      </w:tr>
      <w:tr>
        <w:tblPrEx>
          <w:tblCellMar>
            <w:top w:w="0" w:type="dxa"/>
            <w:left w:w="108" w:type="dxa"/>
            <w:bottom w:w="0" w:type="dxa"/>
            <w:right w:w="108" w:type="dxa"/>
          </w:tblCellMar>
        </w:tblPrEx>
        <w:trPr>
          <w:trHeight w:val="280" w:hRule="atLeast"/>
        </w:trPr>
        <w:tc>
          <w:tcPr>
            <w:tcW w:w="72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模块一 新能源汽车整车装调与故障分析</w:t>
            </w: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1）新能源汽车装调</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新能源汽车维护装调平台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w:t>
            </w:r>
          </w:p>
        </w:tc>
        <w:tc>
          <w:tcPr>
            <w:tcW w:w="4118" w:type="dxa"/>
            <w:tcBorders>
              <w:top w:val="single" w:color="000000" w:sz="4" w:space="0"/>
              <w:left w:val="single" w:color="000000" w:sz="4" w:space="0"/>
              <w:bottom w:val="single" w:color="000000" w:sz="4" w:space="0"/>
              <w:right w:val="single" w:color="000000" w:sz="4" w:space="0"/>
            </w:tcBorders>
          </w:tcPr>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驱动形式：P1+P3 串并联双电机、单电机前驱</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驱动电机最大扭矩：≥245N·m</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电池电量：≥18kWh</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排量：1.5L（1499mL）</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最大扭矩：≥110N·m</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双联屏：≥12英寸仪表+12英寸中控</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智能互联：支持 HiCar/CarPlay/KCCA</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驾驶辅助：ACC 自适应巡航、LKA 车道保持、FCW 前向碰撞预警</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安全：主副驾气囊、360° 全景影像、全车五点式安全带</w:t>
            </w:r>
          </w:p>
          <w:p>
            <w:pP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舒适：电动尾门、自动空调（后排出风口）、无钥匙进入 / 一键启动</w:t>
            </w:r>
            <w:r>
              <w:rPr>
                <w:rFonts w:hint="eastAsia" w:ascii="Noto Sans Mono CJK JP Regular" w:hAnsi="Noto Sans Mono CJK JP Regular" w:eastAsia="华文细黑" w:cs="Noto Sans Mono CJK JP Regular"/>
                <w:kern w:val="0"/>
                <w:szCs w:val="21"/>
              </w:rPr>
              <w:br w:type="textWrapping"/>
            </w:r>
            <w:r>
              <w:rPr>
                <w:rFonts w:hint="eastAsia" w:ascii="Noto Sans Mono CJK JP Regular" w:hAnsi="Noto Sans Mono CJK JP Regular" w:eastAsia="华文细黑" w:cs="Noto Sans Mono CJK JP Regular"/>
                <w:kern w:val="0"/>
                <w:szCs w:val="21"/>
              </w:rPr>
              <w:t>可实现车辆被测系统与整车故障设置与检测连接平台的快速连接。</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21"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维护保养组套</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SG-ZXB-001</w:t>
            </w:r>
          </w:p>
        </w:tc>
        <w:tc>
          <w:tcPr>
            <w:tcW w:w="4118"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维护三件套、冷却液检测仪、制动液检测仪、轮胎深度尺、手电筒等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164"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2）新能源汽车电控系统质量检验与故障诊断</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故障设置与检测连接平台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SG-ZXB-002</w:t>
            </w:r>
          </w:p>
        </w:tc>
        <w:tc>
          <w:tcPr>
            <w:tcW w:w="4118" w:type="dxa"/>
            <w:tcBorders>
              <w:top w:val="single" w:color="000000" w:sz="4" w:space="0"/>
              <w:left w:val="single" w:color="000000" w:sz="4" w:space="0"/>
              <w:bottom w:val="single" w:color="000000" w:sz="4" w:space="0"/>
              <w:right w:val="single" w:color="000000" w:sz="4" w:space="0"/>
            </w:tcBorders>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1.平台可与新能源汽车汽车进行无损互联，实现新能源汽车控制系统电信号在线检测；</w:t>
            </w:r>
            <w:r>
              <w:rPr>
                <w:rFonts w:hint="eastAsia" w:ascii="Noto Sans Mono CJK JP Regular" w:hAnsi="Noto Sans Mono CJK JP Regular" w:eastAsia="华文细黑" w:cs="Noto Sans Mono CJK JP Regular"/>
                <w:kern w:val="0"/>
                <w:szCs w:val="21"/>
              </w:rPr>
              <w:br w:type="textWrapping"/>
            </w:r>
            <w:r>
              <w:rPr>
                <w:rFonts w:hint="eastAsia" w:ascii="Noto Sans Mono CJK JP Regular" w:hAnsi="Noto Sans Mono CJK JP Regular" w:eastAsia="华文细黑" w:cs="Noto Sans Mono CJK JP Regular"/>
                <w:kern w:val="0"/>
                <w:szCs w:val="21"/>
              </w:rPr>
              <w:t>2.故障设置类型包含断路、信号对地短路、虚接等故障。</w:t>
            </w:r>
            <w:r>
              <w:rPr>
                <w:rFonts w:hint="eastAsia" w:ascii="Noto Sans Mono CJK JP Regular" w:hAnsi="Noto Sans Mono CJK JP Regular" w:eastAsia="华文细黑" w:cs="Noto Sans Mono CJK JP Regular"/>
                <w:kern w:val="0"/>
                <w:szCs w:val="21"/>
              </w:rPr>
              <w:br w:type="textWrapping"/>
            </w:r>
            <w:r>
              <w:rPr>
                <w:rFonts w:hint="eastAsia" w:ascii="Noto Sans Mono CJK JP Regular" w:hAnsi="Noto Sans Mono CJK JP Regular" w:eastAsia="华文细黑" w:cs="Noto Sans Mono CJK JP Regular"/>
                <w:kern w:val="0"/>
                <w:szCs w:val="21"/>
              </w:rPr>
              <w:t>3.可对新能源汽车电池管理系统、整车控制器、集成动力控制单元、高低压充电系统、车身控制模块、灯光控制系统、车载摄像感知系统、车载网关系统等开展模块配置和特殊功能，功能检测、故障诊断与故障判定；完成指定电控系统数据流读取与状态分析。</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21"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汽车检测仪器</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SG-ZXB-003</w:t>
            </w:r>
          </w:p>
        </w:tc>
        <w:tc>
          <w:tcPr>
            <w:tcW w:w="41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汽车检测仪、绝缘表、万用表等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80" w:hRule="atLeast"/>
        </w:trPr>
        <w:tc>
          <w:tcPr>
            <w:tcW w:w="721"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r>
              <w:rPr>
                <w:rFonts w:hint="eastAsia" w:ascii="Noto Sans Mono CJK JP Regular" w:hAnsi="Noto Sans Mono CJK JP Regular" w:eastAsia="华文细黑" w:cs="Noto Sans Mono CJK JP Regular"/>
                <w:kern w:val="0"/>
                <w:szCs w:val="21"/>
              </w:rPr>
              <w:t>模块二 新能源汽车驱动总成装调与质量检验</w:t>
            </w:r>
          </w:p>
        </w:tc>
        <w:tc>
          <w:tcPr>
            <w:tcW w:w="78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1）驱动电机与减速器总成装调</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电驱动总成装调与检修工作平台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SG-ZXB-004</w:t>
            </w:r>
          </w:p>
        </w:tc>
        <w:tc>
          <w:tcPr>
            <w:tcW w:w="41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新能源汽车驱动动力系统装调技术平台以新能源汽车原车驱动电机及配套控制系统为核心主体，配套搭载电机控制器、动力电源系统及专用故障设置系统，可真实还原新能源汽车电驱动系统硬件结构与运行逻辑。</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设备具备装调实操功能，可完成驱动电机与减速器组合拆装、减速器总成独立拆装作业，能够实现电驱动整套总成的完整分解与精准装配操作，满足总成拆装调校的实操需求。</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搭载的电控系统与电源设备，平台可真实还原永磁同步电机整车运行状态，可完成车辆点火、档位切换、加速、制动等全工况运行测试，精准模拟实车行驶过程中驱动电机的工作状态，直观呈现电驱动系统动态运行性能。</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整体设备集成电驱动总成装调、故障检修、性能检测等一体化功能，可完成电驱动总成装配校准、零部件检修、故障排查、绝缘性能测试、气密性性能测试等多项实操检测作业。</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驱动电机</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额定电压≥200VAS</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额定功率≥30KW</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最高转速≥9000rpm</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峰值功率≥60kw</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额定转矩≥60N.m</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冷却方式：水冷</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峰值转矩≥160N.m</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防护等级IP672</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变速器</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最大输入扭矩(Nm)≥160</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最高输入转速(rpm)≥10000</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最大输出扭矩(Nm)≥1300</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6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2）驱动电机总成性能与状态检测</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拆装、测量工具组套</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SG-ZXB-005</w:t>
            </w:r>
          </w:p>
        </w:tc>
        <w:tc>
          <w:tcPr>
            <w:tcW w:w="41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含内外卡簧钳、大小棘轮扳手及配套接杆、套筒 、十字一字螺丝刀、预制式扭力扳手、绝缘表、万用表、深度尺、高度尺等等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4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7</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电驱动总成装调与检修系统</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SG-ZXB-007</w:t>
            </w:r>
          </w:p>
        </w:tc>
        <w:tc>
          <w:tcPr>
            <w:tcW w:w="41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设备具备高隔离、高抗干扰的硬件防护性能，采用三端全隔离架构，整体隔离电压等级达3000V，两路CAN通道之间实现2500V独立电气隔离。搭载高速磁耦隔离、双隔离DC-DC电源、GDT陶瓷放电管及共模电感，可有效释放浪涌电流、抑制共模干扰，大幅提升设备运行稳定性与抗干扰能力。设备通信性能稳定，双通道可同步运行，单通道收发速率均可达8500帧/秒，USB总线总传输速率可达17000帧/秒，全程高速传输无丢帧。</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支持透明传输、可编辑脱机中继、波特率自动侦测、智能滤波等实用功能，两路CAN通道均可独立实现车载DBC协议解析与数据发送，适配车辆测试、协议解析、设备维修等场景。同时支持ISO15765、CANOpen、J1939、DeviceNet等多项主流工业及车载协议。</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 运转状态监控可实时监控采集输出频率、输出电压、输出电流、直流母线电压、电机温度、旋变采样值等电机、电控数据。</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425"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3）关键零部件形位精度检测</w:t>
            </w: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8</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新能源汽车关键零部件公差检测平台</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SG-ZXB-008</w:t>
            </w:r>
          </w:p>
        </w:tc>
        <w:tc>
          <w:tcPr>
            <w:tcW w:w="4118"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可进行减速器拆装及核心零部件尺寸精度检测，提供拆装标准件收纳、减速器零部件拆装放置区域。</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21"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9</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测量工具组套</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SG-ZXB-009</w:t>
            </w:r>
          </w:p>
        </w:tc>
        <w:tc>
          <w:tcPr>
            <w:tcW w:w="41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包含：游标卡尺、杠杆百分表、千分表、外径千分尺 、角度尺、刀口直角尺等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30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10</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新能源汽车关键零部件精度检测仪</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SG-ZXB-010</w:t>
            </w:r>
          </w:p>
        </w:tc>
        <w:tc>
          <w:tcPr>
            <w:tcW w:w="41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采用计量级多目机械视觉系统，内置计算单元和供电单元，实现多光源跨模式全流程内处理的一站式扫描</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1.采集相机：纹理相机≥500万像素*1个</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2.扫描模式：小范围激光扫描（7线平行蓝激光），大范围快速扫描）（50线蓝激光），大范围快速扫描（红外散斑）</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3.扫描速度：数据捕获速度≥5,760,000点/秒</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4.扫描精度：基础精度:0.025mm，体积精度≥0.025mm+0.035mm/m</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5.供电方式：4块可更换锂电池（支持续航4小时）；可外接100W-PD3.0协议充电宝；可外接100W-PD3.0协议快充适配器</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6.内置单元：一体式显示屏≥6.4英寸，内置硬盘≥1TB SSD，ARM≥32GB，内置处理器核数≥8核，内置Android操作系统</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96"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11</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新能源汽车关键零部件精度检测与质量控制软件</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SG-ZXB-011</w:t>
            </w:r>
          </w:p>
        </w:tc>
        <w:tc>
          <w:tcPr>
            <w:tcW w:w="41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1.支持在三维检测软件界面下直接扫描并检测，无需进行界面跳转至其他软件。</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2.支持三维CAD模型与三维扫描数据的坐标系对齐功能，包括最佳拟合、局部对齐、RT矩阵直接对齐等对齐方式。</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3.支持多种特征创建方法，包括锚定创建点，模拟CMM创建点，从CAD点选创建面特征等创建方式。</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4.支持多种测量功能，包括测量尺寸（距离）、测量形位公差（平面度等）。</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r>
        <w:tblPrEx>
          <w:tblCellMar>
            <w:top w:w="0" w:type="dxa"/>
            <w:left w:w="108" w:type="dxa"/>
            <w:bottom w:w="0" w:type="dxa"/>
            <w:right w:w="108" w:type="dxa"/>
          </w:tblCellMar>
        </w:tblPrEx>
        <w:trPr>
          <w:trHeight w:val="260" w:hRule="atLeast"/>
        </w:trPr>
        <w:tc>
          <w:tcPr>
            <w:tcW w:w="72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78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等线" w:hAnsi="等线" w:eastAsia="等线" w:cs="等线"/>
                <w:color w:val="000000"/>
                <w:sz w:val="16"/>
                <w:szCs w:val="16"/>
              </w:rPr>
            </w:pPr>
          </w:p>
        </w:tc>
        <w:tc>
          <w:tcPr>
            <w:tcW w:w="387"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12</w:t>
            </w:r>
          </w:p>
        </w:tc>
        <w:tc>
          <w:tcPr>
            <w:tcW w:w="113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新能源汽车关键零部件精度模型评分软件</w:t>
            </w:r>
          </w:p>
        </w:tc>
        <w:tc>
          <w:tcPr>
            <w:tcW w:w="84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SG-ZXB-012</w:t>
            </w:r>
          </w:p>
        </w:tc>
        <w:tc>
          <w:tcPr>
            <w:tcW w:w="41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1.面向工程图学的CAD图纸智能批阅方案，核心解决二维/三维图纸自动评分难题 。</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2.可精准识别图元、尺寸、公差及三维模型特征，支持机械、建筑、水利等多专业图纸自动批改 。</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3.阅卷效率较人工提升约500倍，评分标准统一、结果可追溯，</w:t>
            </w:r>
          </w:p>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4.系统可自动生成成绩明细与学情分析报告，无缝对接智能组卷、在线考试与教学管理，实现“教-考-评”全流程数字化闭环 。</w:t>
            </w:r>
          </w:p>
        </w:tc>
        <w:tc>
          <w:tcPr>
            <w:tcW w:w="425"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Noto Sans Mono CJK JP Regular" w:hAnsi="Noto Sans Mono CJK JP Regular" w:eastAsia="华文细黑" w:cs="Noto Sans Mono CJK JP Regular"/>
                <w:kern w:val="0"/>
                <w:szCs w:val="21"/>
              </w:rPr>
            </w:pPr>
            <w:r>
              <w:rPr>
                <w:rFonts w:hint="eastAsia" w:ascii="Noto Sans Mono CJK JP Regular" w:hAnsi="Noto Sans Mono CJK JP Regular" w:eastAsia="华文细黑" w:cs="Noto Sans Mono CJK JP Regular"/>
                <w:kern w:val="0"/>
                <w:szCs w:val="21"/>
              </w:rPr>
              <w:t>1</w:t>
            </w:r>
          </w:p>
        </w:tc>
      </w:tr>
    </w:tbl>
    <w:p>
      <w:pPr>
        <w:rPr>
          <w:b/>
          <w:bCs/>
          <w:lang w:val="zh-CN"/>
        </w:rPr>
      </w:pPr>
      <w:r>
        <w:rPr>
          <w:rFonts w:hint="eastAsia"/>
          <w:b/>
          <w:bCs/>
          <w:lang w:val="zh-CN"/>
        </w:rPr>
        <w:t>注：部分竞赛设备技术参数会根据比赛的具体要求做适应性完善与优化。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 竞赛材料及辅助设施详见后续技术文件。</w:t>
      </w:r>
    </w:p>
    <w:p>
      <w:pPr>
        <w:spacing w:line="360" w:lineRule="auto"/>
        <w:ind w:firstLine="480" w:firstLineChars="200"/>
        <w:rPr>
          <w:rFonts w:hint="eastAsia" w:ascii="仿宋" w:hAnsi="仿宋" w:eastAsia="仿宋"/>
          <w:sz w:val="24"/>
        </w:rPr>
      </w:pPr>
      <w:r>
        <w:rPr>
          <w:rFonts w:hint="eastAsia" w:ascii="Noto Sans Mono CJK JP Regular" w:hAnsi="Noto Sans Mono CJK JP Regular" w:eastAsia="华文细黑" w:cs="Noto Sans Mono CJK JP Regular"/>
          <w:kern w:val="0"/>
          <w:sz w:val="24"/>
          <w:szCs w:val="22"/>
          <w:lang w:val="zh-CN"/>
        </w:rPr>
        <w:t>5. 选手自带工具见后续技术文件。</w:t>
      </w:r>
    </w:p>
    <w:p>
      <w:pPr>
        <w:spacing w:before="156" w:beforeLines="50" w:after="156" w:afterLines="50" w:line="360" w:lineRule="auto"/>
        <w:ind w:firstLine="602" w:firstLineChars="200"/>
        <w:rPr>
          <w:rFonts w:hint="eastAsia" w:ascii="仿宋" w:hAnsi="仿宋" w:eastAsia="仿宋"/>
          <w:b/>
          <w:bCs/>
          <w:sz w:val="28"/>
          <w:szCs w:val="28"/>
        </w:rPr>
      </w:pPr>
      <w:r>
        <w:rPr>
          <w:rFonts w:hint="eastAsia" w:ascii="黑体" w:hAnsi="黑体" w:eastAsia="黑体" w:cs="黑体"/>
          <w:b/>
          <w:bCs/>
          <w:sz w:val="30"/>
          <w:szCs w:val="30"/>
        </w:rPr>
        <w:t>七、竞赛安全</w:t>
      </w:r>
    </w:p>
    <w:p>
      <w:pPr>
        <w:spacing w:line="360" w:lineRule="auto"/>
        <w:ind w:firstLine="480"/>
        <w:rPr>
          <w:rFonts w:ascii="Calibri" w:hAnsi="Calibri" w:eastAsia="华文细黑"/>
          <w:sz w:val="24"/>
          <w:lang w:val="zh-CN"/>
        </w:rPr>
      </w:pPr>
      <w:r>
        <w:rPr>
          <w:rFonts w:hint="eastAsia" w:ascii="Calibri" w:hAnsi="Calibri" w:eastAsia="华文细黑"/>
          <w:b/>
          <w:bCs/>
          <w:sz w:val="24"/>
          <w:lang w:val="zh-CN"/>
        </w:rPr>
        <w:t>（</w:t>
      </w:r>
      <w:r>
        <w:rPr>
          <w:rFonts w:hint="eastAsia" w:ascii="Calibri" w:hAnsi="Calibri" w:eastAsia="华文细黑"/>
          <w:b/>
          <w:bCs/>
          <w:sz w:val="24"/>
        </w:rPr>
        <w:t>一</w:t>
      </w:r>
      <w:r>
        <w:rPr>
          <w:rFonts w:hint="eastAsia" w:ascii="Calibri" w:hAnsi="Calibri" w:eastAsia="华文细黑"/>
          <w:b/>
          <w:bCs/>
          <w:sz w:val="24"/>
          <w:lang w:val="zh-CN"/>
        </w:rPr>
        <w:t>）赛场安全</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1.赛场所有人员（赛场管理与组织人员、裁判员、参赛人员以及观摩人员）不得在竞赛现场内外吸烟，不听劝阻者给予通报批评或清退比赛现场，造成严重后果的将依法处理。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2.未经允许不得使用和移动竞赛场内的任何设施设备（包括消防器材等），工具使用后放回原处。</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3.选手在竞赛中必须遵守赛场的各项规章制度和操作规程，安全、合理地使用各种设施设备和工具，出现严重违章操作设备的，裁判视情节轻重进行批评和终止比赛。</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4.选手参加实际操作竞赛前，应认真学习竞赛项目安全操作规程。竞赛中如发现问题应及时解决，无法解决的问题应及时向裁判员报告，裁判员视情况予以判定，并协调处理。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5.参赛选手不得触动非竞赛用仪器设备，对竞赛仪器设备造成损坏，由当事人承担赔偿责任（视情节而定），并通报批评；参赛选手若出现恶意破坏仪器设备等情节严重者将依法处理。</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6.比赛期间所有进入赛区车辆、人员需凭证入内，并主动向工作人员出示。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7.赛前选手要认真阅读竞赛服务指南和竞赛秩序册。</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8.各类人员须严格遵守赛场规则，严禁携带比赛严令禁止的物品入内；严禁选手携带表明选手单位、学校身份信息（或logo）的工装、资料等进入竞赛场地。</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9.严禁携带易燃易爆等危险品入内。</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10.赛场必须留有安全通道，必须配备灭火设备，赛场应具备良好的通风、照明和操作空间的条件，做好竞赛安全、健康和公共卫生及突发事件预防与应急处理等工作。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11.安保人员发现不安全隐患及时通报赛场负责人员。</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12.如遇严重突发事件，在安保人员指挥下，迅速按紧急疏散路线撤离现场。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13.赛场必须配备医护人员和必须的药品。</w:t>
      </w:r>
    </w:p>
    <w:p>
      <w:pPr>
        <w:spacing w:line="360" w:lineRule="auto"/>
        <w:ind w:firstLine="480"/>
        <w:rPr>
          <w:rFonts w:ascii="Calibri" w:hAnsi="Calibri" w:eastAsia="华文细黑"/>
          <w:b/>
          <w:bCs/>
          <w:sz w:val="24"/>
          <w:lang w:val="zh-CN"/>
        </w:rPr>
      </w:pPr>
      <w:r>
        <w:rPr>
          <w:rFonts w:hint="eastAsia" w:ascii="Calibri" w:hAnsi="Calibri" w:eastAsia="华文细黑"/>
          <w:b/>
          <w:bCs/>
          <w:sz w:val="24"/>
          <w:lang w:val="zh-CN"/>
        </w:rPr>
        <w:t>（</w:t>
      </w:r>
      <w:r>
        <w:rPr>
          <w:rFonts w:hint="eastAsia" w:ascii="Calibri" w:hAnsi="Calibri" w:eastAsia="华文细黑"/>
          <w:b/>
          <w:bCs/>
          <w:sz w:val="24"/>
        </w:rPr>
        <w:t>二</w:t>
      </w:r>
      <w:r>
        <w:rPr>
          <w:rFonts w:hint="eastAsia" w:ascii="Calibri" w:hAnsi="Calibri" w:eastAsia="华文细黑"/>
          <w:b/>
          <w:bCs/>
          <w:sz w:val="24"/>
          <w:lang w:val="zh-CN"/>
        </w:rPr>
        <w:t>）安全操作规程</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1.选手必须身着工作服进行比赛，工作服要求采用纯棉材质，形式为长衣长裤，上衣采用拉链式，袖口和下摆有收紧功能，比赛全程要求做到“领口紧、袖口紧、下摆紧”的三紧要求。</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2.比赛期间，长发（超过10cm）选手必须把头发束起（或盘起），并穿戴工作帽（布质）进行保护，头发不得散落在工作帽之外。</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3.选手在进行安装布线操作时，必须穿戴硬壳防护头盔（或塑料安全头盔），防止高处掉落物品或磕碰导致受伤。</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4.选手比赛全程需穿着绝缘鞋，绝缘鞋同时要求具有防砸、防穿刺功能。</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5.竞赛过程中，选手需要全程保持竞赛区域的环境整洁有序，防止绊倒，摔倒。</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6.选手使用的工具必须符合电气安全要求，不得使用木工改锥进行电气安装操作。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7.选手必须使用正规，带有安全认证标志的仪表进行测试和测量。</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8.选手必须爱护竞赛设备和设施，不得使用不合理的方式对设备和设施进行操作，不得使用错误的或者不合理的工具对设备设施进行操作。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9.选手安装和配线完成，第一次进行上电测试时，选手必须佩带护目镜和绝缘手套进行操作。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10.对设备进行测试时，选手不得采用人为强制手段对设备和器件操作。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11.在低处操作时，必须采用单腿跪姿进行操作，禁止采用蹲姿，坐姿进行操作。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12.设备进行合闸和按钮操作时，必须使用右手操作，不得双手同时操作设备。</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13.赛场内禁止携带和存放易燃、易爆、挥发性物质和材料。</w:t>
      </w:r>
    </w:p>
    <w:p>
      <w:pPr>
        <w:spacing w:before="156" w:beforeLines="50" w:after="156" w:afterLines="50" w:line="360" w:lineRule="auto"/>
        <w:ind w:firstLine="602" w:firstLineChars="200"/>
        <w:rPr>
          <w:rFonts w:hint="eastAsia" w:ascii="黑体" w:hAnsi="黑体" w:eastAsia="黑体" w:cs="黑体"/>
          <w:b/>
          <w:bCs/>
          <w:sz w:val="30"/>
          <w:szCs w:val="30"/>
        </w:rPr>
      </w:pPr>
      <w:r>
        <w:rPr>
          <w:rFonts w:hint="eastAsia" w:ascii="黑体" w:hAnsi="黑体" w:eastAsia="黑体" w:cs="黑体"/>
          <w:b/>
          <w:bCs/>
          <w:sz w:val="30"/>
          <w:szCs w:val="30"/>
        </w:rPr>
        <w:t>八、开放赛场</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（一）比赛承办方应在不影响选手比赛和裁判员工作的前提下提供开放式场地供参观者观摩。</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（二）比赛承办方应积极做好竞赛的宣传工作。</w:t>
      </w:r>
    </w:p>
    <w:p>
      <w:pPr>
        <w:spacing w:line="360" w:lineRule="auto"/>
        <w:ind w:firstLine="480" w:firstLineChars="200"/>
        <w:rPr>
          <w:rFonts w:hint="eastAsia" w:ascii="Noto Sans Mono CJK JP Regular" w:hAnsi="Noto Sans Mono CJK JP Regular" w:eastAsia="华文细黑" w:cs="Noto Sans Mono CJK JP Regular"/>
          <w:kern w:val="0"/>
          <w:sz w:val="24"/>
          <w:szCs w:val="22"/>
          <w:lang w:val="zh-CN"/>
        </w:rPr>
      </w:pPr>
      <w:r>
        <w:rPr>
          <w:rFonts w:hint="eastAsia" w:ascii="Noto Sans Mono CJK JP Regular" w:hAnsi="Noto Sans Mono CJK JP Regular" w:eastAsia="华文细黑" w:cs="Noto Sans Mono CJK JP Regular"/>
          <w:kern w:val="0"/>
          <w:sz w:val="24"/>
          <w:szCs w:val="22"/>
          <w:lang w:val="zh-CN"/>
        </w:rPr>
        <w:t>（三）参观人员需经过登记审核，安检和检查携带的物品后，方可进入赛场。</w:t>
      </w:r>
    </w:p>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MicrosoftYaHei">
    <w:altName w:val="Cambria"/>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SimSong">
    <w:altName w:val="宋体"/>
    <w:panose1 w:val="00000000000000000000"/>
    <w:charset w:val="86"/>
    <w:family w:val="roman"/>
    <w:pitch w:val="default"/>
    <w:sig w:usb0="00000000" w:usb1="00000000" w:usb2="00000016" w:usb3="00000000" w:csb0="0004000D"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Noto Sans Mono CJK JP Regular">
    <w:altName w:val="Calibri"/>
    <w:panose1 w:val="00000000000000000000"/>
    <w:charset w:val="00"/>
    <w:family w:val="swiss"/>
    <w:pitch w:val="default"/>
    <w:sig w:usb0="00000000" w:usb1="00000000" w:usb2="00000000" w:usb3="00000000" w:csb0="00000000" w:csb1="00000000"/>
  </w:font>
  <w:font w:name="等线">
    <w:altName w:val="方正黑体简体"/>
    <w:panose1 w:val="02010600030101010101"/>
    <w:charset w:val="86"/>
    <w:family w:val="auto"/>
    <w:pitch w:val="default"/>
    <w:sig w:usb0="00000000" w:usb1="00000000" w:usb2="00000016" w:usb3="00000000" w:csb0="0004000F" w:csb1="00000000"/>
  </w:font>
  <w:font w:name="方正黑体简体">
    <w:panose1 w:val="03000509000000000000"/>
    <w:charset w:val="86"/>
    <w:family w:val="auto"/>
    <w:pitch w:val="default"/>
    <w:sig w:usb0="00000001" w:usb1="080E0000" w:usb2="00000000" w:usb3="00000000" w:csb0="00040000" w:csb1="00000000"/>
  </w:font>
  <w:font w:name="Segoe UI Symbol">
    <w:panose1 w:val="020B0502040204020203"/>
    <w:charset w:val="00"/>
    <w:family w:val="swiss"/>
    <w:pitch w:val="default"/>
    <w:sig w:usb0="8000006F" w:usb1="1200FBEF" w:usb2="0004C000" w:usb3="00000000" w:csb0="00000001" w:csb1="40000000"/>
  </w:font>
  <w:font w:name="KaiXinSong">
    <w:panose1 w:val="02010609060101010101"/>
    <w:charset w:val="00"/>
    <w:family w:val="auto"/>
    <w:pitch w:val="default"/>
    <w:sig w:usb0="800002BF" w:usb1="3AC97CFA" w:usb2="04000016" w:usb3="00000000" w:csb0="40000001" w:csb1="C0D6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rPr>
        <w:rStyle w:val="17"/>
      </w:rPr>
      <w:fldChar w:fldCharType="begin"/>
    </w:r>
    <w:r>
      <w:rPr>
        <w:rStyle w:val="17"/>
      </w:rPr>
      <w:instrText xml:space="preserve">PAGE  </w:instrText>
    </w:r>
    <w:r>
      <w:rPr>
        <w:rStyle w:val="17"/>
      </w:rPr>
      <w:fldChar w:fldCharType="separate"/>
    </w:r>
    <w:r>
      <w:rPr>
        <w:rStyle w:val="17"/>
      </w:rPr>
      <w:t>8</w:t>
    </w:r>
    <w:r>
      <w:rPr>
        <w:rStyle w:val="17"/>
      </w:rPr>
      <w:fldChar w:fldCharType="end"/>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pPr>
      <w:pStyle w:val="1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wYTY0MGM3ZjczMTVkYjQ5ZTc3MzI4MmY2ZTUzMTIifQ=="/>
  </w:docVars>
  <w:rsids>
    <w:rsidRoot w:val="001F280B"/>
    <w:rsid w:val="00001836"/>
    <w:rsid w:val="0000321C"/>
    <w:rsid w:val="00003F9D"/>
    <w:rsid w:val="00004023"/>
    <w:rsid w:val="00007104"/>
    <w:rsid w:val="000152C1"/>
    <w:rsid w:val="00015A51"/>
    <w:rsid w:val="00023BBE"/>
    <w:rsid w:val="00025D4A"/>
    <w:rsid w:val="000306DD"/>
    <w:rsid w:val="00035D1A"/>
    <w:rsid w:val="00035DE6"/>
    <w:rsid w:val="000362A6"/>
    <w:rsid w:val="0003662F"/>
    <w:rsid w:val="00041892"/>
    <w:rsid w:val="000420A9"/>
    <w:rsid w:val="0004675F"/>
    <w:rsid w:val="0004731D"/>
    <w:rsid w:val="00052B0C"/>
    <w:rsid w:val="0005780B"/>
    <w:rsid w:val="00062E92"/>
    <w:rsid w:val="00076BB2"/>
    <w:rsid w:val="00077B4B"/>
    <w:rsid w:val="00083834"/>
    <w:rsid w:val="00083C06"/>
    <w:rsid w:val="00086488"/>
    <w:rsid w:val="000868BD"/>
    <w:rsid w:val="00091ED1"/>
    <w:rsid w:val="00095CA3"/>
    <w:rsid w:val="000A1FCF"/>
    <w:rsid w:val="000A30FE"/>
    <w:rsid w:val="000A6E6F"/>
    <w:rsid w:val="000B419E"/>
    <w:rsid w:val="000B45C0"/>
    <w:rsid w:val="000B5433"/>
    <w:rsid w:val="000C063E"/>
    <w:rsid w:val="000C2444"/>
    <w:rsid w:val="000C2E26"/>
    <w:rsid w:val="000C627B"/>
    <w:rsid w:val="000D173E"/>
    <w:rsid w:val="000D760B"/>
    <w:rsid w:val="000E1419"/>
    <w:rsid w:val="000E1D97"/>
    <w:rsid w:val="000E4EF6"/>
    <w:rsid w:val="000E752F"/>
    <w:rsid w:val="000F1A35"/>
    <w:rsid w:val="000F20E0"/>
    <w:rsid w:val="000F2874"/>
    <w:rsid w:val="000F74F7"/>
    <w:rsid w:val="000F75FB"/>
    <w:rsid w:val="001011BB"/>
    <w:rsid w:val="00106CCF"/>
    <w:rsid w:val="00107F03"/>
    <w:rsid w:val="00110568"/>
    <w:rsid w:val="0011082F"/>
    <w:rsid w:val="00111AC6"/>
    <w:rsid w:val="00117D78"/>
    <w:rsid w:val="00120855"/>
    <w:rsid w:val="0012541C"/>
    <w:rsid w:val="00125A03"/>
    <w:rsid w:val="00130676"/>
    <w:rsid w:val="00133E3A"/>
    <w:rsid w:val="00136D05"/>
    <w:rsid w:val="0014051B"/>
    <w:rsid w:val="001429C2"/>
    <w:rsid w:val="00144382"/>
    <w:rsid w:val="00144B88"/>
    <w:rsid w:val="001451F4"/>
    <w:rsid w:val="00147105"/>
    <w:rsid w:val="00147225"/>
    <w:rsid w:val="00147FD4"/>
    <w:rsid w:val="00153649"/>
    <w:rsid w:val="001628CF"/>
    <w:rsid w:val="00163348"/>
    <w:rsid w:val="00167159"/>
    <w:rsid w:val="00170AAF"/>
    <w:rsid w:val="0017239A"/>
    <w:rsid w:val="0017334B"/>
    <w:rsid w:val="00180DBC"/>
    <w:rsid w:val="00183116"/>
    <w:rsid w:val="00185085"/>
    <w:rsid w:val="00187049"/>
    <w:rsid w:val="00191CEE"/>
    <w:rsid w:val="00192F30"/>
    <w:rsid w:val="00193D97"/>
    <w:rsid w:val="00196532"/>
    <w:rsid w:val="001A2943"/>
    <w:rsid w:val="001A33A3"/>
    <w:rsid w:val="001A3456"/>
    <w:rsid w:val="001A3B51"/>
    <w:rsid w:val="001A3E1B"/>
    <w:rsid w:val="001A4B75"/>
    <w:rsid w:val="001A6423"/>
    <w:rsid w:val="001B02F1"/>
    <w:rsid w:val="001B38DF"/>
    <w:rsid w:val="001B66B4"/>
    <w:rsid w:val="001B6851"/>
    <w:rsid w:val="001D02F2"/>
    <w:rsid w:val="001D1586"/>
    <w:rsid w:val="001D4BB7"/>
    <w:rsid w:val="001D4F7A"/>
    <w:rsid w:val="001D55DD"/>
    <w:rsid w:val="001D72A3"/>
    <w:rsid w:val="001D784B"/>
    <w:rsid w:val="001E05EB"/>
    <w:rsid w:val="001E53C6"/>
    <w:rsid w:val="001E6E59"/>
    <w:rsid w:val="001E6FAE"/>
    <w:rsid w:val="001F280B"/>
    <w:rsid w:val="001F38FA"/>
    <w:rsid w:val="001F6034"/>
    <w:rsid w:val="001F60A1"/>
    <w:rsid w:val="001F7385"/>
    <w:rsid w:val="002010A9"/>
    <w:rsid w:val="00204529"/>
    <w:rsid w:val="00211257"/>
    <w:rsid w:val="002120AA"/>
    <w:rsid w:val="00214CDA"/>
    <w:rsid w:val="00217585"/>
    <w:rsid w:val="002175A2"/>
    <w:rsid w:val="0022055F"/>
    <w:rsid w:val="0022228C"/>
    <w:rsid w:val="00223B83"/>
    <w:rsid w:val="00224256"/>
    <w:rsid w:val="002332DE"/>
    <w:rsid w:val="002336F8"/>
    <w:rsid w:val="00233932"/>
    <w:rsid w:val="00246902"/>
    <w:rsid w:val="00252D99"/>
    <w:rsid w:val="0025404F"/>
    <w:rsid w:val="0025466E"/>
    <w:rsid w:val="00255D46"/>
    <w:rsid w:val="00264A38"/>
    <w:rsid w:val="0026515D"/>
    <w:rsid w:val="0026722F"/>
    <w:rsid w:val="00272BE6"/>
    <w:rsid w:val="00275BA1"/>
    <w:rsid w:val="00280389"/>
    <w:rsid w:val="00284C03"/>
    <w:rsid w:val="00286638"/>
    <w:rsid w:val="00287F39"/>
    <w:rsid w:val="00287F68"/>
    <w:rsid w:val="00297C25"/>
    <w:rsid w:val="002A0EA7"/>
    <w:rsid w:val="002A124E"/>
    <w:rsid w:val="002A444C"/>
    <w:rsid w:val="002A6850"/>
    <w:rsid w:val="002B17CD"/>
    <w:rsid w:val="002B44E7"/>
    <w:rsid w:val="002B5288"/>
    <w:rsid w:val="002B5B79"/>
    <w:rsid w:val="002B669E"/>
    <w:rsid w:val="002B6C5A"/>
    <w:rsid w:val="002C06AA"/>
    <w:rsid w:val="002C14E2"/>
    <w:rsid w:val="002C2F64"/>
    <w:rsid w:val="002C43DE"/>
    <w:rsid w:val="002C599F"/>
    <w:rsid w:val="002C692D"/>
    <w:rsid w:val="002D4A86"/>
    <w:rsid w:val="002D5DAA"/>
    <w:rsid w:val="002D6F46"/>
    <w:rsid w:val="002D77AB"/>
    <w:rsid w:val="002E0F40"/>
    <w:rsid w:val="002E23DE"/>
    <w:rsid w:val="002E251A"/>
    <w:rsid w:val="002E5F6E"/>
    <w:rsid w:val="002E7566"/>
    <w:rsid w:val="002F05A7"/>
    <w:rsid w:val="002F3FAB"/>
    <w:rsid w:val="00300088"/>
    <w:rsid w:val="00301D46"/>
    <w:rsid w:val="00303040"/>
    <w:rsid w:val="003034E1"/>
    <w:rsid w:val="003056F1"/>
    <w:rsid w:val="00313C02"/>
    <w:rsid w:val="0032326F"/>
    <w:rsid w:val="00332875"/>
    <w:rsid w:val="00334844"/>
    <w:rsid w:val="00337FF4"/>
    <w:rsid w:val="003504F0"/>
    <w:rsid w:val="003505C4"/>
    <w:rsid w:val="00353162"/>
    <w:rsid w:val="00354696"/>
    <w:rsid w:val="00355FC8"/>
    <w:rsid w:val="00365E6A"/>
    <w:rsid w:val="00370392"/>
    <w:rsid w:val="0037114C"/>
    <w:rsid w:val="00372758"/>
    <w:rsid w:val="003753A2"/>
    <w:rsid w:val="003832E9"/>
    <w:rsid w:val="00390B35"/>
    <w:rsid w:val="003941BA"/>
    <w:rsid w:val="00395B12"/>
    <w:rsid w:val="003A77FC"/>
    <w:rsid w:val="003A7CEC"/>
    <w:rsid w:val="003B04D2"/>
    <w:rsid w:val="003B1B4D"/>
    <w:rsid w:val="003B416E"/>
    <w:rsid w:val="003B5845"/>
    <w:rsid w:val="003B6D0F"/>
    <w:rsid w:val="003D11B9"/>
    <w:rsid w:val="003D46F0"/>
    <w:rsid w:val="003E141C"/>
    <w:rsid w:val="003E2323"/>
    <w:rsid w:val="003E4126"/>
    <w:rsid w:val="003E4DBD"/>
    <w:rsid w:val="003E6B73"/>
    <w:rsid w:val="003F0B7B"/>
    <w:rsid w:val="003F2147"/>
    <w:rsid w:val="003F255B"/>
    <w:rsid w:val="00400329"/>
    <w:rsid w:val="0040151F"/>
    <w:rsid w:val="00401582"/>
    <w:rsid w:val="00404DB7"/>
    <w:rsid w:val="00404F07"/>
    <w:rsid w:val="00405CF2"/>
    <w:rsid w:val="0041141A"/>
    <w:rsid w:val="00411717"/>
    <w:rsid w:val="004136E4"/>
    <w:rsid w:val="00414BC7"/>
    <w:rsid w:val="00415F79"/>
    <w:rsid w:val="00416719"/>
    <w:rsid w:val="004202A5"/>
    <w:rsid w:val="004300B9"/>
    <w:rsid w:val="004320A4"/>
    <w:rsid w:val="00433DA9"/>
    <w:rsid w:val="004367B8"/>
    <w:rsid w:val="00440B5D"/>
    <w:rsid w:val="00441E76"/>
    <w:rsid w:val="00445217"/>
    <w:rsid w:val="0044526C"/>
    <w:rsid w:val="0044581F"/>
    <w:rsid w:val="00451875"/>
    <w:rsid w:val="00460AC5"/>
    <w:rsid w:val="00461AAA"/>
    <w:rsid w:val="00461C99"/>
    <w:rsid w:val="00467C7B"/>
    <w:rsid w:val="0047182D"/>
    <w:rsid w:val="00472EEF"/>
    <w:rsid w:val="00474E45"/>
    <w:rsid w:val="00475124"/>
    <w:rsid w:val="0047636E"/>
    <w:rsid w:val="0047720B"/>
    <w:rsid w:val="00483312"/>
    <w:rsid w:val="004836AD"/>
    <w:rsid w:val="00484B93"/>
    <w:rsid w:val="00486AFA"/>
    <w:rsid w:val="004902CF"/>
    <w:rsid w:val="0049129E"/>
    <w:rsid w:val="0049309C"/>
    <w:rsid w:val="004A2373"/>
    <w:rsid w:val="004A43B7"/>
    <w:rsid w:val="004A6CF0"/>
    <w:rsid w:val="004B2DE1"/>
    <w:rsid w:val="004B694F"/>
    <w:rsid w:val="004C175D"/>
    <w:rsid w:val="004C1B8D"/>
    <w:rsid w:val="004C38F4"/>
    <w:rsid w:val="004C5B3C"/>
    <w:rsid w:val="004D0ACA"/>
    <w:rsid w:val="004D0C44"/>
    <w:rsid w:val="004E66BB"/>
    <w:rsid w:val="004F272E"/>
    <w:rsid w:val="004F4017"/>
    <w:rsid w:val="00501558"/>
    <w:rsid w:val="00502293"/>
    <w:rsid w:val="00502488"/>
    <w:rsid w:val="00503AC0"/>
    <w:rsid w:val="005055E0"/>
    <w:rsid w:val="00511955"/>
    <w:rsid w:val="0051456F"/>
    <w:rsid w:val="00516426"/>
    <w:rsid w:val="005220C4"/>
    <w:rsid w:val="005258A9"/>
    <w:rsid w:val="00527E80"/>
    <w:rsid w:val="00527F23"/>
    <w:rsid w:val="005307B8"/>
    <w:rsid w:val="005328E3"/>
    <w:rsid w:val="00534B6E"/>
    <w:rsid w:val="00536685"/>
    <w:rsid w:val="005467CF"/>
    <w:rsid w:val="00546847"/>
    <w:rsid w:val="00546CB5"/>
    <w:rsid w:val="00547936"/>
    <w:rsid w:val="005512AE"/>
    <w:rsid w:val="005518FD"/>
    <w:rsid w:val="005568DF"/>
    <w:rsid w:val="00560446"/>
    <w:rsid w:val="00564B75"/>
    <w:rsid w:val="00567E52"/>
    <w:rsid w:val="00571402"/>
    <w:rsid w:val="0057213C"/>
    <w:rsid w:val="005724E3"/>
    <w:rsid w:val="005806F4"/>
    <w:rsid w:val="00580EC6"/>
    <w:rsid w:val="0058468A"/>
    <w:rsid w:val="00590C09"/>
    <w:rsid w:val="00592483"/>
    <w:rsid w:val="00593605"/>
    <w:rsid w:val="00595EC2"/>
    <w:rsid w:val="00596080"/>
    <w:rsid w:val="00596CBF"/>
    <w:rsid w:val="00597A12"/>
    <w:rsid w:val="005A0EFF"/>
    <w:rsid w:val="005A2183"/>
    <w:rsid w:val="005A2332"/>
    <w:rsid w:val="005A28E2"/>
    <w:rsid w:val="005A7728"/>
    <w:rsid w:val="005C0705"/>
    <w:rsid w:val="005C4E75"/>
    <w:rsid w:val="005C5A28"/>
    <w:rsid w:val="005C770A"/>
    <w:rsid w:val="005D0A02"/>
    <w:rsid w:val="005D5867"/>
    <w:rsid w:val="005D59F1"/>
    <w:rsid w:val="005D7480"/>
    <w:rsid w:val="005D7B0D"/>
    <w:rsid w:val="005E004D"/>
    <w:rsid w:val="005E1428"/>
    <w:rsid w:val="005E362F"/>
    <w:rsid w:val="005E3DA6"/>
    <w:rsid w:val="005F0DD1"/>
    <w:rsid w:val="005F59ED"/>
    <w:rsid w:val="005F7F5F"/>
    <w:rsid w:val="00601F02"/>
    <w:rsid w:val="00603016"/>
    <w:rsid w:val="00605B18"/>
    <w:rsid w:val="00605B3F"/>
    <w:rsid w:val="00610385"/>
    <w:rsid w:val="00610A27"/>
    <w:rsid w:val="006111A9"/>
    <w:rsid w:val="00615616"/>
    <w:rsid w:val="006228C6"/>
    <w:rsid w:val="00625A2C"/>
    <w:rsid w:val="00626541"/>
    <w:rsid w:val="00627896"/>
    <w:rsid w:val="00630B64"/>
    <w:rsid w:val="00631CE9"/>
    <w:rsid w:val="006354D7"/>
    <w:rsid w:val="00635C52"/>
    <w:rsid w:val="006361CD"/>
    <w:rsid w:val="00637888"/>
    <w:rsid w:val="00637DE5"/>
    <w:rsid w:val="00640249"/>
    <w:rsid w:val="00640B99"/>
    <w:rsid w:val="00642590"/>
    <w:rsid w:val="00642CF1"/>
    <w:rsid w:val="00644027"/>
    <w:rsid w:val="006505BD"/>
    <w:rsid w:val="006506D1"/>
    <w:rsid w:val="0065284F"/>
    <w:rsid w:val="006537E0"/>
    <w:rsid w:val="00661CAD"/>
    <w:rsid w:val="0066462C"/>
    <w:rsid w:val="00664ADB"/>
    <w:rsid w:val="00665CF0"/>
    <w:rsid w:val="00667363"/>
    <w:rsid w:val="00670159"/>
    <w:rsid w:val="00671713"/>
    <w:rsid w:val="006801ED"/>
    <w:rsid w:val="0068291F"/>
    <w:rsid w:val="00683F0D"/>
    <w:rsid w:val="006849D8"/>
    <w:rsid w:val="006858A2"/>
    <w:rsid w:val="00687AC9"/>
    <w:rsid w:val="00687B86"/>
    <w:rsid w:val="00691770"/>
    <w:rsid w:val="00692153"/>
    <w:rsid w:val="0069301B"/>
    <w:rsid w:val="006932A2"/>
    <w:rsid w:val="00693F64"/>
    <w:rsid w:val="00695B0A"/>
    <w:rsid w:val="006962C8"/>
    <w:rsid w:val="0069775B"/>
    <w:rsid w:val="006A0215"/>
    <w:rsid w:val="006A244C"/>
    <w:rsid w:val="006A3323"/>
    <w:rsid w:val="006A3333"/>
    <w:rsid w:val="006A6CF6"/>
    <w:rsid w:val="006B0824"/>
    <w:rsid w:val="006B54F6"/>
    <w:rsid w:val="006C4761"/>
    <w:rsid w:val="006C4FD9"/>
    <w:rsid w:val="006C7169"/>
    <w:rsid w:val="006C75FE"/>
    <w:rsid w:val="006D0D4D"/>
    <w:rsid w:val="006D1E9F"/>
    <w:rsid w:val="006D20F1"/>
    <w:rsid w:val="006D493E"/>
    <w:rsid w:val="006D5B86"/>
    <w:rsid w:val="006D662E"/>
    <w:rsid w:val="006D6F60"/>
    <w:rsid w:val="006E04BD"/>
    <w:rsid w:val="006E082E"/>
    <w:rsid w:val="006E143E"/>
    <w:rsid w:val="006E3A82"/>
    <w:rsid w:val="006E7ACF"/>
    <w:rsid w:val="006F01D5"/>
    <w:rsid w:val="006F11E9"/>
    <w:rsid w:val="006F28CE"/>
    <w:rsid w:val="006F5F81"/>
    <w:rsid w:val="006F7B27"/>
    <w:rsid w:val="007029E5"/>
    <w:rsid w:val="00705B22"/>
    <w:rsid w:val="00705CC8"/>
    <w:rsid w:val="007074A2"/>
    <w:rsid w:val="00710131"/>
    <w:rsid w:val="0071091F"/>
    <w:rsid w:val="007122EC"/>
    <w:rsid w:val="0071239F"/>
    <w:rsid w:val="0071711C"/>
    <w:rsid w:val="007209C5"/>
    <w:rsid w:val="00721132"/>
    <w:rsid w:val="00721A7D"/>
    <w:rsid w:val="00724E7A"/>
    <w:rsid w:val="00727D19"/>
    <w:rsid w:val="0073052D"/>
    <w:rsid w:val="007330D8"/>
    <w:rsid w:val="00736891"/>
    <w:rsid w:val="0074013C"/>
    <w:rsid w:val="00740B77"/>
    <w:rsid w:val="007415E7"/>
    <w:rsid w:val="0075145F"/>
    <w:rsid w:val="00751B06"/>
    <w:rsid w:val="007529BE"/>
    <w:rsid w:val="007572FF"/>
    <w:rsid w:val="00763302"/>
    <w:rsid w:val="00767EB4"/>
    <w:rsid w:val="007706AD"/>
    <w:rsid w:val="00777D17"/>
    <w:rsid w:val="00783907"/>
    <w:rsid w:val="00785B7D"/>
    <w:rsid w:val="007876A9"/>
    <w:rsid w:val="007929B3"/>
    <w:rsid w:val="007A0870"/>
    <w:rsid w:val="007A0E9E"/>
    <w:rsid w:val="007A1820"/>
    <w:rsid w:val="007A4963"/>
    <w:rsid w:val="007A537E"/>
    <w:rsid w:val="007A6F67"/>
    <w:rsid w:val="007A765B"/>
    <w:rsid w:val="007B0D6A"/>
    <w:rsid w:val="007C2F1D"/>
    <w:rsid w:val="007C3485"/>
    <w:rsid w:val="007C5EB6"/>
    <w:rsid w:val="007C6A22"/>
    <w:rsid w:val="007C6BCD"/>
    <w:rsid w:val="007D1DBE"/>
    <w:rsid w:val="007D2034"/>
    <w:rsid w:val="007D5070"/>
    <w:rsid w:val="007D6F79"/>
    <w:rsid w:val="007D7284"/>
    <w:rsid w:val="007E13B9"/>
    <w:rsid w:val="007E1DA6"/>
    <w:rsid w:val="007E2895"/>
    <w:rsid w:val="007E2AAA"/>
    <w:rsid w:val="007E3E31"/>
    <w:rsid w:val="007F21EB"/>
    <w:rsid w:val="007F45C4"/>
    <w:rsid w:val="0080070C"/>
    <w:rsid w:val="00802C12"/>
    <w:rsid w:val="00807757"/>
    <w:rsid w:val="00813EFA"/>
    <w:rsid w:val="0081599C"/>
    <w:rsid w:val="00816B78"/>
    <w:rsid w:val="00817663"/>
    <w:rsid w:val="00817CBB"/>
    <w:rsid w:val="00823B73"/>
    <w:rsid w:val="0082516F"/>
    <w:rsid w:val="00825AAA"/>
    <w:rsid w:val="00827E6F"/>
    <w:rsid w:val="008338A2"/>
    <w:rsid w:val="00833D62"/>
    <w:rsid w:val="00834374"/>
    <w:rsid w:val="00834E8C"/>
    <w:rsid w:val="00835AD4"/>
    <w:rsid w:val="00835B9B"/>
    <w:rsid w:val="00843A24"/>
    <w:rsid w:val="00844A6E"/>
    <w:rsid w:val="00851765"/>
    <w:rsid w:val="0085738B"/>
    <w:rsid w:val="00860428"/>
    <w:rsid w:val="00861EAF"/>
    <w:rsid w:val="008654F9"/>
    <w:rsid w:val="0086694D"/>
    <w:rsid w:val="0086742A"/>
    <w:rsid w:val="008716A4"/>
    <w:rsid w:val="008730D9"/>
    <w:rsid w:val="008874F6"/>
    <w:rsid w:val="00890732"/>
    <w:rsid w:val="00890AB2"/>
    <w:rsid w:val="00891386"/>
    <w:rsid w:val="0089255C"/>
    <w:rsid w:val="00895BE9"/>
    <w:rsid w:val="0089617D"/>
    <w:rsid w:val="008A123E"/>
    <w:rsid w:val="008A5A51"/>
    <w:rsid w:val="008A61BA"/>
    <w:rsid w:val="008A680F"/>
    <w:rsid w:val="008B0E40"/>
    <w:rsid w:val="008B1ACE"/>
    <w:rsid w:val="008B1E8D"/>
    <w:rsid w:val="008B3E49"/>
    <w:rsid w:val="008B44F1"/>
    <w:rsid w:val="008B55DB"/>
    <w:rsid w:val="008B721E"/>
    <w:rsid w:val="008C0712"/>
    <w:rsid w:val="008D062A"/>
    <w:rsid w:val="008D59F9"/>
    <w:rsid w:val="008E2085"/>
    <w:rsid w:val="008E3DE2"/>
    <w:rsid w:val="008E4F52"/>
    <w:rsid w:val="008E4F8C"/>
    <w:rsid w:val="008F039C"/>
    <w:rsid w:val="008F273C"/>
    <w:rsid w:val="008F49A9"/>
    <w:rsid w:val="008F4BAF"/>
    <w:rsid w:val="008F661B"/>
    <w:rsid w:val="00900DAC"/>
    <w:rsid w:val="00902E8F"/>
    <w:rsid w:val="00904D2F"/>
    <w:rsid w:val="009057C0"/>
    <w:rsid w:val="00905A56"/>
    <w:rsid w:val="009067C7"/>
    <w:rsid w:val="00907C73"/>
    <w:rsid w:val="00915477"/>
    <w:rsid w:val="00916BC6"/>
    <w:rsid w:val="00921337"/>
    <w:rsid w:val="00921EF3"/>
    <w:rsid w:val="0092363F"/>
    <w:rsid w:val="0093168C"/>
    <w:rsid w:val="00932AB5"/>
    <w:rsid w:val="00934433"/>
    <w:rsid w:val="0093559C"/>
    <w:rsid w:val="009370CE"/>
    <w:rsid w:val="0094053B"/>
    <w:rsid w:val="009407F9"/>
    <w:rsid w:val="00943C91"/>
    <w:rsid w:val="00944947"/>
    <w:rsid w:val="0094519A"/>
    <w:rsid w:val="00945714"/>
    <w:rsid w:val="0095066E"/>
    <w:rsid w:val="00953CC6"/>
    <w:rsid w:val="00955881"/>
    <w:rsid w:val="00956C8A"/>
    <w:rsid w:val="00957815"/>
    <w:rsid w:val="00960E32"/>
    <w:rsid w:val="00967178"/>
    <w:rsid w:val="0097232B"/>
    <w:rsid w:val="00974C5F"/>
    <w:rsid w:val="00975222"/>
    <w:rsid w:val="00975DE6"/>
    <w:rsid w:val="00975EE7"/>
    <w:rsid w:val="009834DC"/>
    <w:rsid w:val="00987443"/>
    <w:rsid w:val="00990A29"/>
    <w:rsid w:val="00991554"/>
    <w:rsid w:val="00993838"/>
    <w:rsid w:val="0099581D"/>
    <w:rsid w:val="009A45E1"/>
    <w:rsid w:val="009A5929"/>
    <w:rsid w:val="009A6C3F"/>
    <w:rsid w:val="009A79B5"/>
    <w:rsid w:val="009B22B9"/>
    <w:rsid w:val="009B3146"/>
    <w:rsid w:val="009B36D5"/>
    <w:rsid w:val="009B4B65"/>
    <w:rsid w:val="009B705E"/>
    <w:rsid w:val="009C0925"/>
    <w:rsid w:val="009C1F74"/>
    <w:rsid w:val="009C58AB"/>
    <w:rsid w:val="009D0AF8"/>
    <w:rsid w:val="009D1A92"/>
    <w:rsid w:val="009D3D17"/>
    <w:rsid w:val="009D5FC8"/>
    <w:rsid w:val="009E62C1"/>
    <w:rsid w:val="009E650A"/>
    <w:rsid w:val="009F0017"/>
    <w:rsid w:val="009F0DC3"/>
    <w:rsid w:val="009F1299"/>
    <w:rsid w:val="009F2D5C"/>
    <w:rsid w:val="009F7B1D"/>
    <w:rsid w:val="009F7D03"/>
    <w:rsid w:val="00A01A47"/>
    <w:rsid w:val="00A129BB"/>
    <w:rsid w:val="00A142D0"/>
    <w:rsid w:val="00A15549"/>
    <w:rsid w:val="00A16475"/>
    <w:rsid w:val="00A1663C"/>
    <w:rsid w:val="00A20EDB"/>
    <w:rsid w:val="00A255DB"/>
    <w:rsid w:val="00A2785C"/>
    <w:rsid w:val="00A33CA6"/>
    <w:rsid w:val="00A37F68"/>
    <w:rsid w:val="00A429F1"/>
    <w:rsid w:val="00A43A9D"/>
    <w:rsid w:val="00A45AD1"/>
    <w:rsid w:val="00A47758"/>
    <w:rsid w:val="00A505C6"/>
    <w:rsid w:val="00A5362A"/>
    <w:rsid w:val="00A54CF2"/>
    <w:rsid w:val="00A552E1"/>
    <w:rsid w:val="00A575CB"/>
    <w:rsid w:val="00A61972"/>
    <w:rsid w:val="00A6560A"/>
    <w:rsid w:val="00A65A96"/>
    <w:rsid w:val="00A82376"/>
    <w:rsid w:val="00A82634"/>
    <w:rsid w:val="00A82FC2"/>
    <w:rsid w:val="00A85FBA"/>
    <w:rsid w:val="00A91F33"/>
    <w:rsid w:val="00A927BC"/>
    <w:rsid w:val="00A96451"/>
    <w:rsid w:val="00AA40F6"/>
    <w:rsid w:val="00AB4675"/>
    <w:rsid w:val="00AB56DF"/>
    <w:rsid w:val="00AB5FEA"/>
    <w:rsid w:val="00AB6906"/>
    <w:rsid w:val="00AB730D"/>
    <w:rsid w:val="00AC114B"/>
    <w:rsid w:val="00AC1BF2"/>
    <w:rsid w:val="00AC25EF"/>
    <w:rsid w:val="00AC5305"/>
    <w:rsid w:val="00AC546F"/>
    <w:rsid w:val="00AC71E2"/>
    <w:rsid w:val="00AC79AD"/>
    <w:rsid w:val="00AD258D"/>
    <w:rsid w:val="00AD2A02"/>
    <w:rsid w:val="00AE0813"/>
    <w:rsid w:val="00AE3D2D"/>
    <w:rsid w:val="00AE6F3B"/>
    <w:rsid w:val="00AF5562"/>
    <w:rsid w:val="00AF6508"/>
    <w:rsid w:val="00AF6C50"/>
    <w:rsid w:val="00AF6CE8"/>
    <w:rsid w:val="00AF6DBA"/>
    <w:rsid w:val="00AF7D0E"/>
    <w:rsid w:val="00B03617"/>
    <w:rsid w:val="00B03634"/>
    <w:rsid w:val="00B04572"/>
    <w:rsid w:val="00B06CDF"/>
    <w:rsid w:val="00B1476E"/>
    <w:rsid w:val="00B14900"/>
    <w:rsid w:val="00B14A29"/>
    <w:rsid w:val="00B219BF"/>
    <w:rsid w:val="00B3070F"/>
    <w:rsid w:val="00B3323A"/>
    <w:rsid w:val="00B40F3D"/>
    <w:rsid w:val="00B44915"/>
    <w:rsid w:val="00B465E7"/>
    <w:rsid w:val="00B476D1"/>
    <w:rsid w:val="00B60136"/>
    <w:rsid w:val="00B61216"/>
    <w:rsid w:val="00B71941"/>
    <w:rsid w:val="00B74F74"/>
    <w:rsid w:val="00B7513E"/>
    <w:rsid w:val="00B75199"/>
    <w:rsid w:val="00B80F75"/>
    <w:rsid w:val="00B859D2"/>
    <w:rsid w:val="00B86BE2"/>
    <w:rsid w:val="00B948C4"/>
    <w:rsid w:val="00B94F8D"/>
    <w:rsid w:val="00B9515A"/>
    <w:rsid w:val="00BA39F7"/>
    <w:rsid w:val="00BA3CFF"/>
    <w:rsid w:val="00BA3D89"/>
    <w:rsid w:val="00BB1A05"/>
    <w:rsid w:val="00BB24A6"/>
    <w:rsid w:val="00BB2B6D"/>
    <w:rsid w:val="00BB405B"/>
    <w:rsid w:val="00BC10B6"/>
    <w:rsid w:val="00BC1757"/>
    <w:rsid w:val="00BC5760"/>
    <w:rsid w:val="00BD0855"/>
    <w:rsid w:val="00BD4C43"/>
    <w:rsid w:val="00BD69FE"/>
    <w:rsid w:val="00BD730A"/>
    <w:rsid w:val="00BE0012"/>
    <w:rsid w:val="00BE12EF"/>
    <w:rsid w:val="00BE145E"/>
    <w:rsid w:val="00BE3870"/>
    <w:rsid w:val="00BF3833"/>
    <w:rsid w:val="00C0138B"/>
    <w:rsid w:val="00C015BA"/>
    <w:rsid w:val="00C0435E"/>
    <w:rsid w:val="00C11394"/>
    <w:rsid w:val="00C122FC"/>
    <w:rsid w:val="00C14E55"/>
    <w:rsid w:val="00C208AE"/>
    <w:rsid w:val="00C20924"/>
    <w:rsid w:val="00C210AD"/>
    <w:rsid w:val="00C25666"/>
    <w:rsid w:val="00C26E45"/>
    <w:rsid w:val="00C27F68"/>
    <w:rsid w:val="00C30724"/>
    <w:rsid w:val="00C37747"/>
    <w:rsid w:val="00C45BD8"/>
    <w:rsid w:val="00C52D2E"/>
    <w:rsid w:val="00C56F8E"/>
    <w:rsid w:val="00C65C5A"/>
    <w:rsid w:val="00C70E5A"/>
    <w:rsid w:val="00C71223"/>
    <w:rsid w:val="00C77F99"/>
    <w:rsid w:val="00C855C3"/>
    <w:rsid w:val="00C8630B"/>
    <w:rsid w:val="00C869AD"/>
    <w:rsid w:val="00CA2BD3"/>
    <w:rsid w:val="00CA5822"/>
    <w:rsid w:val="00CA76EE"/>
    <w:rsid w:val="00CB0F06"/>
    <w:rsid w:val="00CB787C"/>
    <w:rsid w:val="00CC0E18"/>
    <w:rsid w:val="00CC0FF9"/>
    <w:rsid w:val="00CC3A12"/>
    <w:rsid w:val="00CC3FDE"/>
    <w:rsid w:val="00CC486E"/>
    <w:rsid w:val="00CC66BB"/>
    <w:rsid w:val="00CC6986"/>
    <w:rsid w:val="00CE1CBF"/>
    <w:rsid w:val="00CE54BB"/>
    <w:rsid w:val="00CE5FA1"/>
    <w:rsid w:val="00CE7987"/>
    <w:rsid w:val="00CF128E"/>
    <w:rsid w:val="00CF1E95"/>
    <w:rsid w:val="00CF469A"/>
    <w:rsid w:val="00D00221"/>
    <w:rsid w:val="00D0133B"/>
    <w:rsid w:val="00D0197B"/>
    <w:rsid w:val="00D05910"/>
    <w:rsid w:val="00D15836"/>
    <w:rsid w:val="00D159B2"/>
    <w:rsid w:val="00D162ED"/>
    <w:rsid w:val="00D24419"/>
    <w:rsid w:val="00D2518B"/>
    <w:rsid w:val="00D252AC"/>
    <w:rsid w:val="00D2747C"/>
    <w:rsid w:val="00D27519"/>
    <w:rsid w:val="00D32FB4"/>
    <w:rsid w:val="00D34458"/>
    <w:rsid w:val="00D36CCD"/>
    <w:rsid w:val="00D36EA9"/>
    <w:rsid w:val="00D37DBE"/>
    <w:rsid w:val="00D37F12"/>
    <w:rsid w:val="00D41838"/>
    <w:rsid w:val="00D42D04"/>
    <w:rsid w:val="00D469FF"/>
    <w:rsid w:val="00D50438"/>
    <w:rsid w:val="00D50C91"/>
    <w:rsid w:val="00D51567"/>
    <w:rsid w:val="00D51A7F"/>
    <w:rsid w:val="00D56F1E"/>
    <w:rsid w:val="00D64321"/>
    <w:rsid w:val="00D66056"/>
    <w:rsid w:val="00D678DB"/>
    <w:rsid w:val="00D679B9"/>
    <w:rsid w:val="00D67F87"/>
    <w:rsid w:val="00D73E4E"/>
    <w:rsid w:val="00D750BE"/>
    <w:rsid w:val="00D779CC"/>
    <w:rsid w:val="00D820DD"/>
    <w:rsid w:val="00D87A86"/>
    <w:rsid w:val="00D90E9B"/>
    <w:rsid w:val="00D9169C"/>
    <w:rsid w:val="00D92C79"/>
    <w:rsid w:val="00D93B9C"/>
    <w:rsid w:val="00D954A4"/>
    <w:rsid w:val="00DA1F1D"/>
    <w:rsid w:val="00DB2934"/>
    <w:rsid w:val="00DB2EEA"/>
    <w:rsid w:val="00DC540E"/>
    <w:rsid w:val="00DD0550"/>
    <w:rsid w:val="00DD440B"/>
    <w:rsid w:val="00DD4DE9"/>
    <w:rsid w:val="00DD5D98"/>
    <w:rsid w:val="00DE1901"/>
    <w:rsid w:val="00DE2B1F"/>
    <w:rsid w:val="00DE3F3D"/>
    <w:rsid w:val="00DE4EFC"/>
    <w:rsid w:val="00DE5FDB"/>
    <w:rsid w:val="00DE685C"/>
    <w:rsid w:val="00DE68B0"/>
    <w:rsid w:val="00DE6F1C"/>
    <w:rsid w:val="00DF1289"/>
    <w:rsid w:val="00DF1732"/>
    <w:rsid w:val="00DF33DB"/>
    <w:rsid w:val="00E013E0"/>
    <w:rsid w:val="00E030AF"/>
    <w:rsid w:val="00E046EA"/>
    <w:rsid w:val="00E05325"/>
    <w:rsid w:val="00E0635E"/>
    <w:rsid w:val="00E07D00"/>
    <w:rsid w:val="00E10484"/>
    <w:rsid w:val="00E10675"/>
    <w:rsid w:val="00E10B3E"/>
    <w:rsid w:val="00E10C52"/>
    <w:rsid w:val="00E11238"/>
    <w:rsid w:val="00E11EC2"/>
    <w:rsid w:val="00E20C73"/>
    <w:rsid w:val="00E214AA"/>
    <w:rsid w:val="00E238E7"/>
    <w:rsid w:val="00E2411C"/>
    <w:rsid w:val="00E2788C"/>
    <w:rsid w:val="00E332BA"/>
    <w:rsid w:val="00E424BD"/>
    <w:rsid w:val="00E42DA3"/>
    <w:rsid w:val="00E457E2"/>
    <w:rsid w:val="00E47DFA"/>
    <w:rsid w:val="00E520C8"/>
    <w:rsid w:val="00E5348A"/>
    <w:rsid w:val="00E568D8"/>
    <w:rsid w:val="00E60F0C"/>
    <w:rsid w:val="00E624D5"/>
    <w:rsid w:val="00E716CA"/>
    <w:rsid w:val="00E722EE"/>
    <w:rsid w:val="00E7363D"/>
    <w:rsid w:val="00E7534C"/>
    <w:rsid w:val="00E83BF5"/>
    <w:rsid w:val="00E911DD"/>
    <w:rsid w:val="00E91C1A"/>
    <w:rsid w:val="00E91D4A"/>
    <w:rsid w:val="00E964A6"/>
    <w:rsid w:val="00EA32B4"/>
    <w:rsid w:val="00EA3A4E"/>
    <w:rsid w:val="00EA3E0F"/>
    <w:rsid w:val="00EA6718"/>
    <w:rsid w:val="00EB0779"/>
    <w:rsid w:val="00EB350B"/>
    <w:rsid w:val="00EB50C1"/>
    <w:rsid w:val="00EB6548"/>
    <w:rsid w:val="00EC24CA"/>
    <w:rsid w:val="00EC5307"/>
    <w:rsid w:val="00ED10DA"/>
    <w:rsid w:val="00ED6664"/>
    <w:rsid w:val="00EE1243"/>
    <w:rsid w:val="00EE2735"/>
    <w:rsid w:val="00EE7953"/>
    <w:rsid w:val="00EE7A8C"/>
    <w:rsid w:val="00EF0708"/>
    <w:rsid w:val="00EF08FD"/>
    <w:rsid w:val="00EF3164"/>
    <w:rsid w:val="00EF3171"/>
    <w:rsid w:val="00EF45A7"/>
    <w:rsid w:val="00EF4877"/>
    <w:rsid w:val="00EF4B9B"/>
    <w:rsid w:val="00EF5C83"/>
    <w:rsid w:val="00F02208"/>
    <w:rsid w:val="00F0584E"/>
    <w:rsid w:val="00F11785"/>
    <w:rsid w:val="00F12436"/>
    <w:rsid w:val="00F15CC9"/>
    <w:rsid w:val="00F24061"/>
    <w:rsid w:val="00F241B1"/>
    <w:rsid w:val="00F24A81"/>
    <w:rsid w:val="00F269F7"/>
    <w:rsid w:val="00F278AC"/>
    <w:rsid w:val="00F33D29"/>
    <w:rsid w:val="00F34430"/>
    <w:rsid w:val="00F35D6B"/>
    <w:rsid w:val="00F44014"/>
    <w:rsid w:val="00F559BE"/>
    <w:rsid w:val="00F60A8B"/>
    <w:rsid w:val="00F6661D"/>
    <w:rsid w:val="00F72E87"/>
    <w:rsid w:val="00F84E94"/>
    <w:rsid w:val="00F90C59"/>
    <w:rsid w:val="00F913EC"/>
    <w:rsid w:val="00FA392F"/>
    <w:rsid w:val="00FA570A"/>
    <w:rsid w:val="00FA5A15"/>
    <w:rsid w:val="00FB419E"/>
    <w:rsid w:val="00FB55B3"/>
    <w:rsid w:val="00FC773A"/>
    <w:rsid w:val="00FD408D"/>
    <w:rsid w:val="00FD669E"/>
    <w:rsid w:val="00FD7BFD"/>
    <w:rsid w:val="00FE1AF1"/>
    <w:rsid w:val="00FE1D87"/>
    <w:rsid w:val="00FE2F1D"/>
    <w:rsid w:val="00FF04F8"/>
    <w:rsid w:val="00FF1C94"/>
    <w:rsid w:val="00FF76D7"/>
    <w:rsid w:val="00FF797F"/>
    <w:rsid w:val="013B046F"/>
    <w:rsid w:val="02E73211"/>
    <w:rsid w:val="09DF1D71"/>
    <w:rsid w:val="0D262741"/>
    <w:rsid w:val="0D79688A"/>
    <w:rsid w:val="24763D61"/>
    <w:rsid w:val="2B116592"/>
    <w:rsid w:val="2B465C04"/>
    <w:rsid w:val="2F9915F8"/>
    <w:rsid w:val="32844F83"/>
    <w:rsid w:val="33891CF7"/>
    <w:rsid w:val="34AF782F"/>
    <w:rsid w:val="376A64A9"/>
    <w:rsid w:val="3B6F2F50"/>
    <w:rsid w:val="3C254B95"/>
    <w:rsid w:val="3C8C6F94"/>
    <w:rsid w:val="3D191CD8"/>
    <w:rsid w:val="3F01152F"/>
    <w:rsid w:val="400E3767"/>
    <w:rsid w:val="434C1998"/>
    <w:rsid w:val="44ED5025"/>
    <w:rsid w:val="4C7920DC"/>
    <w:rsid w:val="4D1A70D0"/>
    <w:rsid w:val="4E686874"/>
    <w:rsid w:val="4E7C7A47"/>
    <w:rsid w:val="50044B59"/>
    <w:rsid w:val="532076DA"/>
    <w:rsid w:val="53605111"/>
    <w:rsid w:val="58DF692A"/>
    <w:rsid w:val="59A12560"/>
    <w:rsid w:val="5AEF661D"/>
    <w:rsid w:val="5B76165D"/>
    <w:rsid w:val="5E167DE6"/>
    <w:rsid w:val="608F004C"/>
    <w:rsid w:val="617B738A"/>
    <w:rsid w:val="61821CFD"/>
    <w:rsid w:val="657052DE"/>
    <w:rsid w:val="687F067C"/>
    <w:rsid w:val="6FC20AE3"/>
    <w:rsid w:val="7241545B"/>
    <w:rsid w:val="7316584D"/>
    <w:rsid w:val="7F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ocked="1"/>
    <w:lsdException w:qFormat="1" w:uiPriority="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0"/>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3"/>
    <w:next w:val="1"/>
    <w:unhideWhenUsed/>
    <w:qFormat/>
    <w:locked/>
    <w:uiPriority w:val="9"/>
    <w:pPr>
      <w:keepNext/>
      <w:keepLines/>
      <w:widowControl w:val="0"/>
      <w:spacing w:before="260" w:after="260" w:line="416" w:lineRule="auto"/>
      <w:jc w:val="both"/>
      <w:outlineLvl w:val="2"/>
    </w:pPr>
    <w:rPr>
      <w:rFonts w:ascii="Calibri" w:hAnsi="Calibri" w:eastAsia="宋体" w:cs="Times New Roman"/>
      <w:b/>
      <w:bCs/>
      <w:kern w:val="2"/>
      <w:sz w:val="32"/>
      <w:szCs w:val="32"/>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unhideWhenUsed/>
    <w:qFormat/>
    <w:locked/>
    <w:uiPriority w:val="0"/>
    <w:rPr>
      <w:rFonts w:eastAsia="黑体" w:asciiTheme="majorHAnsi" w:hAnsiTheme="majorHAnsi" w:cstheme="majorBidi"/>
      <w:sz w:val="20"/>
      <w:szCs w:val="20"/>
    </w:rPr>
  </w:style>
  <w:style w:type="paragraph" w:styleId="5">
    <w:name w:val="Document Map"/>
    <w:basedOn w:val="1"/>
    <w:link w:val="24"/>
    <w:semiHidden/>
    <w:qFormat/>
    <w:uiPriority w:val="0"/>
    <w:pPr>
      <w:shd w:val="clear" w:color="auto" w:fill="000080"/>
    </w:pPr>
  </w:style>
  <w:style w:type="paragraph" w:styleId="6">
    <w:name w:val="Body Text"/>
    <w:basedOn w:val="1"/>
    <w:qFormat/>
    <w:uiPriority w:val="0"/>
    <w:pPr>
      <w:jc w:val="center"/>
    </w:pPr>
    <w:rPr>
      <w:rFonts w:ascii="仿宋_GB2312" w:hAnsi="仿宋_GB2312" w:eastAsia="黑体"/>
    </w:rPr>
  </w:style>
  <w:style w:type="paragraph" w:styleId="7">
    <w:name w:val="Body Text Indent"/>
    <w:basedOn w:val="1"/>
    <w:link w:val="21"/>
    <w:qFormat/>
    <w:uiPriority w:val="0"/>
    <w:pPr>
      <w:spacing w:line="360" w:lineRule="auto"/>
      <w:ind w:left="360"/>
    </w:pPr>
    <w:rPr>
      <w:sz w:val="24"/>
    </w:rPr>
  </w:style>
  <w:style w:type="paragraph" w:styleId="8">
    <w:name w:val="Body Text Indent 2"/>
    <w:basedOn w:val="1"/>
    <w:link w:val="22"/>
    <w:qFormat/>
    <w:uiPriority w:val="0"/>
    <w:pPr>
      <w:ind w:firstLine="636" w:firstLineChars="227"/>
    </w:pPr>
    <w:rPr>
      <w:sz w:val="28"/>
    </w:rPr>
  </w:style>
  <w:style w:type="paragraph" w:styleId="9">
    <w:name w:val="Balloon Text"/>
    <w:basedOn w:val="1"/>
    <w:link w:val="25"/>
    <w:semiHidden/>
    <w:qFormat/>
    <w:uiPriority w:val="0"/>
    <w:rPr>
      <w:sz w:val="18"/>
      <w:szCs w:val="18"/>
    </w:rPr>
  </w:style>
  <w:style w:type="paragraph" w:styleId="10">
    <w:name w:val="footer"/>
    <w:basedOn w:val="1"/>
    <w:link w:val="26"/>
    <w:qFormat/>
    <w:uiPriority w:val="0"/>
    <w:pPr>
      <w:tabs>
        <w:tab w:val="center" w:pos="4153"/>
        <w:tab w:val="right" w:pos="8306"/>
      </w:tabs>
      <w:snapToGrid w:val="0"/>
      <w:jc w:val="left"/>
    </w:pPr>
    <w:rPr>
      <w:sz w:val="18"/>
      <w:szCs w:val="18"/>
    </w:rPr>
  </w:style>
  <w:style w:type="paragraph" w:styleId="11">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23"/>
    <w:qFormat/>
    <w:uiPriority w:val="0"/>
    <w:pPr>
      <w:ind w:left="-250" w:leftChars="-250" w:firstLine="560" w:firstLineChars="200"/>
    </w:pPr>
    <w:rPr>
      <w:rFonts w:eastAsia="仿宋_GB2312"/>
      <w:sz w:val="28"/>
    </w:rPr>
  </w:style>
  <w:style w:type="paragraph" w:styleId="13">
    <w:name w:val="Body Text First Indent"/>
    <w:basedOn w:val="6"/>
    <w:qFormat/>
    <w:uiPriority w:val="0"/>
    <w:pPr>
      <w:spacing w:line="560" w:lineRule="exact"/>
      <w:ind w:firstLine="721" w:firstLineChars="200"/>
    </w:pPr>
    <w:rPr>
      <w:rFonts w:ascii="Calibri"/>
    </w:rPr>
  </w:style>
  <w:style w:type="table" w:styleId="15">
    <w:name w:val="Table Grid"/>
    <w:basedOn w:val="14"/>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rPr>
      <w:rFonts w:cs="Times New Roman"/>
    </w:rPr>
  </w:style>
  <w:style w:type="character" w:styleId="18">
    <w:name w:val="Hyperlink"/>
    <w:basedOn w:val="16"/>
    <w:qFormat/>
    <w:uiPriority w:val="0"/>
    <w:rPr>
      <w:rFonts w:cs="Times New Roman"/>
      <w:color w:val="0000FF"/>
      <w:u w:val="single"/>
    </w:rPr>
  </w:style>
  <w:style w:type="character" w:customStyle="1" w:styleId="19">
    <w:name w:val="标题 1 字符"/>
    <w:basedOn w:val="16"/>
    <w:link w:val="3"/>
    <w:qFormat/>
    <w:locked/>
    <w:uiPriority w:val="0"/>
    <w:rPr>
      <w:rFonts w:cs="Times New Roman"/>
      <w:b/>
      <w:bCs/>
      <w:kern w:val="44"/>
      <w:sz w:val="44"/>
      <w:szCs w:val="44"/>
    </w:rPr>
  </w:style>
  <w:style w:type="character" w:customStyle="1" w:styleId="20">
    <w:name w:val="black000"/>
    <w:basedOn w:val="16"/>
    <w:qFormat/>
    <w:uiPriority w:val="0"/>
    <w:rPr>
      <w:rFonts w:cs="Times New Roman"/>
    </w:rPr>
  </w:style>
  <w:style w:type="character" w:customStyle="1" w:styleId="21">
    <w:name w:val="正文文本缩进 字符"/>
    <w:basedOn w:val="16"/>
    <w:link w:val="7"/>
    <w:semiHidden/>
    <w:qFormat/>
    <w:locked/>
    <w:uiPriority w:val="0"/>
    <w:rPr>
      <w:rFonts w:cs="Times New Roman"/>
      <w:sz w:val="24"/>
      <w:szCs w:val="24"/>
    </w:rPr>
  </w:style>
  <w:style w:type="character" w:customStyle="1" w:styleId="22">
    <w:name w:val="正文文本缩进 2 字符"/>
    <w:basedOn w:val="16"/>
    <w:link w:val="8"/>
    <w:semiHidden/>
    <w:qFormat/>
    <w:locked/>
    <w:uiPriority w:val="0"/>
    <w:rPr>
      <w:rFonts w:cs="Times New Roman"/>
      <w:sz w:val="24"/>
      <w:szCs w:val="24"/>
    </w:rPr>
  </w:style>
  <w:style w:type="character" w:customStyle="1" w:styleId="23">
    <w:name w:val="正文文本缩进 3 字符"/>
    <w:basedOn w:val="16"/>
    <w:link w:val="12"/>
    <w:semiHidden/>
    <w:qFormat/>
    <w:locked/>
    <w:uiPriority w:val="0"/>
    <w:rPr>
      <w:rFonts w:cs="Times New Roman"/>
      <w:sz w:val="16"/>
      <w:szCs w:val="16"/>
    </w:rPr>
  </w:style>
  <w:style w:type="character" w:customStyle="1" w:styleId="24">
    <w:name w:val="文档结构图 字符"/>
    <w:basedOn w:val="16"/>
    <w:link w:val="5"/>
    <w:semiHidden/>
    <w:qFormat/>
    <w:locked/>
    <w:uiPriority w:val="0"/>
    <w:rPr>
      <w:rFonts w:cs="Times New Roman"/>
      <w:sz w:val="2"/>
    </w:rPr>
  </w:style>
  <w:style w:type="character" w:customStyle="1" w:styleId="25">
    <w:name w:val="批注框文本 字符"/>
    <w:basedOn w:val="16"/>
    <w:link w:val="9"/>
    <w:semiHidden/>
    <w:qFormat/>
    <w:locked/>
    <w:uiPriority w:val="0"/>
    <w:rPr>
      <w:rFonts w:cs="Times New Roman"/>
      <w:sz w:val="2"/>
    </w:rPr>
  </w:style>
  <w:style w:type="character" w:customStyle="1" w:styleId="26">
    <w:name w:val="页脚 字符"/>
    <w:basedOn w:val="16"/>
    <w:link w:val="10"/>
    <w:semiHidden/>
    <w:qFormat/>
    <w:locked/>
    <w:uiPriority w:val="0"/>
    <w:rPr>
      <w:rFonts w:cs="Times New Roman"/>
      <w:sz w:val="18"/>
      <w:szCs w:val="18"/>
    </w:rPr>
  </w:style>
  <w:style w:type="character" w:customStyle="1" w:styleId="27">
    <w:name w:val="页眉 字符"/>
    <w:basedOn w:val="16"/>
    <w:link w:val="11"/>
    <w:qFormat/>
    <w:locked/>
    <w:uiPriority w:val="0"/>
    <w:rPr>
      <w:rFonts w:cs="Times New Roman"/>
      <w:kern w:val="2"/>
      <w:sz w:val="18"/>
    </w:rPr>
  </w:style>
  <w:style w:type="paragraph" w:customStyle="1" w:styleId="28">
    <w:name w:val="List Paragraph1"/>
    <w:basedOn w:val="1"/>
    <w:qFormat/>
    <w:uiPriority w:val="0"/>
    <w:pPr>
      <w:ind w:firstLine="420" w:firstLineChars="200"/>
    </w:pPr>
  </w:style>
  <w:style w:type="paragraph" w:customStyle="1" w:styleId="29">
    <w:name w:val="Char Char Char Char"/>
    <w:basedOn w:val="1"/>
    <w:qFormat/>
    <w:uiPriority w:val="0"/>
    <w:rPr>
      <w:szCs w:val="20"/>
    </w:rPr>
  </w:style>
  <w:style w:type="character" w:customStyle="1" w:styleId="30">
    <w:name w:val="apple-converted-space"/>
    <w:basedOn w:val="16"/>
    <w:qFormat/>
    <w:uiPriority w:val="0"/>
    <w:rPr>
      <w:rFonts w:cs="Times New Roman"/>
    </w:rPr>
  </w:style>
  <w:style w:type="paragraph" w:customStyle="1" w:styleId="31">
    <w:name w:val="列出段落1"/>
    <w:basedOn w:val="1"/>
    <w:qFormat/>
    <w:uiPriority w:val="0"/>
    <w:pPr>
      <w:ind w:firstLine="420" w:firstLineChars="200"/>
    </w:pPr>
    <w:rPr>
      <w:rFonts w:ascii="Calibri" w:hAnsi="Calibri"/>
      <w:szCs w:val="22"/>
    </w:rPr>
  </w:style>
  <w:style w:type="paragraph" w:styleId="32">
    <w:name w:val="List Paragraph"/>
    <w:basedOn w:val="1"/>
    <w:qFormat/>
    <w:uiPriority w:val="34"/>
    <w:pPr>
      <w:ind w:firstLine="420" w:firstLineChars="200"/>
    </w:pPr>
  </w:style>
  <w:style w:type="character" w:customStyle="1" w:styleId="33">
    <w:name w:val="fontstyle01"/>
    <w:basedOn w:val="16"/>
    <w:qFormat/>
    <w:uiPriority w:val="0"/>
    <w:rPr>
      <w:rFonts w:hint="default" w:ascii="MicrosoftYaHei" w:hAnsi="MicrosoftYaHei"/>
      <w:color w:val="000000"/>
      <w:sz w:val="24"/>
      <w:szCs w:val="24"/>
    </w:rPr>
  </w:style>
  <w:style w:type="character" w:customStyle="1" w:styleId="34">
    <w:name w:val="fontstyle11"/>
    <w:basedOn w:val="16"/>
    <w:qFormat/>
    <w:uiPriority w:val="0"/>
    <w:rPr>
      <w:rFonts w:hint="default" w:ascii="TimesNewRomanPSMT" w:hAnsi="TimesNewRomanPSMT"/>
      <w:color w:val="000000"/>
      <w:sz w:val="24"/>
      <w:szCs w:val="24"/>
    </w:rPr>
  </w:style>
  <w:style w:type="paragraph" w:customStyle="1" w:styleId="35">
    <w:name w:val="p1"/>
    <w:basedOn w:val="1"/>
    <w:qFormat/>
    <w:uiPriority w:val="0"/>
    <w:pPr>
      <w:widowControl/>
      <w:jc w:val="left"/>
    </w:pPr>
    <w:rPr>
      <w:rFonts w:ascii="SimSong" w:hAnsi="SimSong" w:eastAsia="SimSong" w:cs="宋体"/>
      <w:color w:val="1D1D1D"/>
      <w:kern w:val="0"/>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ChengJiaoChu</Company>
  <Pages>14</Pages>
  <Words>1079</Words>
  <Characters>6154</Characters>
  <Lines>51</Lines>
  <Paragraphs>14</Paragraphs>
  <TotalTime>4</TotalTime>
  <ScaleCrop>false</ScaleCrop>
  <LinksUpToDate>false</LinksUpToDate>
  <CharactersWithSpaces>7219</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2026-03-07T23:45:00Z</dcterms:created>
  <dc:creator>zhang</dc:creator>
  <cp:lastModifiedBy>admin</cp:lastModifiedBy>
  <cp:lastPrinted>2014-06-02T06:37:00Z</cp:lastPrinted>
  <dcterms:modified xsi:type="dcterms:W3CDTF">2026-07-02T10:13:24Z</dcterms:modified>
  <dc:title>维修电工竞赛技术纲要</dc:title>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1900DE2D02B149D3BEFF632607D1CEFF</vt:lpwstr>
  </property>
  <property fmtid="{D5CDD505-2E9C-101B-9397-08002B2CF9AE}" pid="4" name="KSOTemplateDocerSaveRecord">
    <vt:lpwstr>eyJoZGlkIjoiMTUwYTY0MGM3ZjczMTVkYjQ5ZTc3MzI4MmY2ZTUzMTIiLCJ1c2VySWQiOiIzOTU4MjY3NDQifQ==</vt:lpwstr>
  </property>
</Properties>
</file>