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jc w:val="center"/>
        <w:rPr>
          <w:rFonts w:ascii="华文新魏" w:eastAsia="华文新魏"/>
          <w:sz w:val="52"/>
          <w:szCs w:val="52"/>
        </w:rPr>
      </w:pPr>
      <w:r>
        <w:rPr>
          <w:rFonts w:ascii="华文新魏" w:eastAsia="华文新魏"/>
          <w:sz w:val="52"/>
          <w:szCs w:val="52"/>
        </w:rPr>
        <mc:AlternateContent>
          <mc:Choice Requires="wps">
            <w:drawing>
              <wp:anchor distT="0" distB="0" distL="114300" distR="114300" simplePos="0" relativeHeight="251659264" behindDoc="0" locked="0" layoutInCell="1" allowOverlap="1">
                <wp:simplePos x="0" y="0"/>
                <wp:positionH relativeFrom="column">
                  <wp:posOffset>-214630</wp:posOffset>
                </wp:positionH>
                <wp:positionV relativeFrom="paragraph">
                  <wp:posOffset>99060</wp:posOffset>
                </wp:positionV>
                <wp:extent cx="2083435" cy="471805"/>
                <wp:effectExtent l="0" t="0" r="12065" b="24130"/>
                <wp:wrapNone/>
                <wp:docPr id="1" name="Text Box 4"/>
                <wp:cNvGraphicFramePr/>
                <a:graphic xmlns:a="http://schemas.openxmlformats.org/drawingml/2006/main">
                  <a:graphicData uri="http://schemas.microsoft.com/office/word/2010/wordprocessingShape">
                    <wps:wsp>
                      <wps:cNvSpPr txBox="1">
                        <a:spLocks noChangeArrowheads="1"/>
                      </wps:cNvSpPr>
                      <wps:spPr bwMode="auto">
                        <a:xfrm>
                          <a:off x="0" y="0"/>
                          <a:ext cx="2083435" cy="471665"/>
                        </a:xfrm>
                        <a:prstGeom prst="rect">
                          <a:avLst/>
                        </a:prstGeom>
                        <a:solidFill>
                          <a:srgbClr val="FFFFFF"/>
                        </a:solidFill>
                        <a:ln w="12700">
                          <a:solidFill>
                            <a:srgbClr val="000000"/>
                          </a:solidFill>
                          <a:miter lim="800000"/>
                        </a:ln>
                      </wps:spPr>
                      <wps:txbx>
                        <w:txbxContent>
                          <w:p>
                            <w:pPr>
                              <w:jc w:val="center"/>
                              <w:rPr>
                                <w:rFonts w:hint="eastAsia" w:ascii="宋体" w:hAnsi="宋体"/>
                                <w:b/>
                                <w:bCs/>
                                <w:sz w:val="24"/>
                              </w:rPr>
                            </w:pPr>
                            <w:r>
                              <w:rPr>
                                <w:rFonts w:hint="eastAsia" w:ascii="宋体" w:hAnsi="宋体"/>
                                <w:b/>
                                <w:bCs/>
                                <w:sz w:val="24"/>
                              </w:rPr>
                              <w:t>第十九届“振兴杯”全国</w:t>
                            </w:r>
                          </w:p>
                          <w:p>
                            <w:pPr>
                              <w:jc w:val="center"/>
                              <w:rPr>
                                <w:b/>
                                <w:bCs/>
                                <w:sz w:val="24"/>
                              </w:rPr>
                            </w:pPr>
                            <w:r>
                              <w:rPr>
                                <w:rFonts w:hint="eastAsia" w:ascii="宋体" w:hAnsi="宋体"/>
                                <w:b/>
                                <w:bCs/>
                                <w:sz w:val="24"/>
                              </w:rPr>
                              <w:t>青年职业技能大赛技术文件</w:t>
                            </w:r>
                          </w:p>
                        </w:txbxContent>
                      </wps:txbx>
                      <wps:bodyPr rot="0" vert="horz" wrap="square" lIns="91440" tIns="45720" rIns="91440" bIns="45720" anchor="t" anchorCtr="0" upright="1">
                        <a:noAutofit/>
                      </wps:bodyPr>
                    </wps:wsp>
                  </a:graphicData>
                </a:graphic>
              </wp:anchor>
            </w:drawing>
          </mc:Choice>
          <mc:Fallback>
            <w:pict>
              <v:shape id="Text Box 4" o:spid="_x0000_s1026" o:spt="202" type="#_x0000_t202" style="position:absolute;left:0pt;margin-left:-16.9pt;margin-top:7.8pt;height:37.15pt;width:164.05pt;z-index:251659264;mso-width-relative:page;mso-height-relative:page;" fillcolor="#FFFFFF" filled="t" stroked="t" coordsize="21600,21600" o:gfxdata="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">
                <v:fill on="t" focussize="0,0"/>
                <v:stroke weight="1pt" color="#000000" miterlimit="8" joinstyle="miter"/>
                <v:imagedata o:title=""/>
                <o:lock v:ext="edit" aspectratio="f"/>
                <v:textbox>
                  <w:txbxContent>
                    <w:p>
                      <w:pPr>
                        <w:jc w:val="center"/>
                        <w:rPr>
                          <w:rFonts w:hint="eastAsia" w:ascii="宋体" w:hAnsi="宋体"/>
                          <w:b/>
                          <w:bCs/>
                          <w:sz w:val="24"/>
                        </w:rPr>
                      </w:pPr>
                      <w:r>
                        <w:rPr>
                          <w:rFonts w:hint="eastAsia" w:ascii="宋体" w:hAnsi="宋体"/>
                          <w:b/>
                          <w:bCs/>
                          <w:sz w:val="24"/>
                        </w:rPr>
                        <w:t>第十九届“振兴杯”全国</w:t>
                      </w:r>
                    </w:p>
                    <w:p>
                      <w:pPr>
                        <w:jc w:val="center"/>
                        <w:rPr>
                          <w:b/>
                          <w:bCs/>
                          <w:sz w:val="24"/>
                        </w:rPr>
                      </w:pPr>
                      <w:r>
                        <w:rPr>
                          <w:rFonts w:hint="eastAsia" w:ascii="宋体" w:hAnsi="宋体"/>
                          <w:b/>
                          <w:bCs/>
                          <w:sz w:val="24"/>
                        </w:rPr>
                        <w:t>青年职业技能大赛技术文件</w:t>
                      </w:r>
                    </w:p>
                  </w:txbxContent>
                </v:textbox>
              </v:shape>
            </w:pict>
          </mc:Fallback>
        </mc:AlternateContent>
      </w:r>
    </w:p>
    <w:p>
      <w:pPr>
        <w:jc w:val="center"/>
        <w:rPr>
          <w:rFonts w:ascii="华文新魏" w:eastAsia="华文新魏"/>
          <w:sz w:val="52"/>
          <w:szCs w:val="52"/>
        </w:rPr>
      </w:pPr>
    </w:p>
    <w:p>
      <w:pPr>
        <w:jc w:val="center"/>
        <w:rPr>
          <w:rFonts w:ascii="华文新魏" w:eastAsia="华文新魏"/>
          <w:sz w:val="52"/>
          <w:szCs w:val="52"/>
        </w:rPr>
      </w:pPr>
    </w:p>
    <w:p>
      <w:pPr>
        <w:jc w:val="center"/>
        <w:rPr>
          <w:rFonts w:hint="eastAsia" w:ascii="黑体" w:hAnsi="黑体" w:eastAsia="黑体" w:cs="黑体"/>
          <w:sz w:val="52"/>
          <w:szCs w:val="52"/>
        </w:rPr>
      </w:pPr>
      <w:r>
        <w:rPr>
          <w:rFonts w:hint="eastAsia" w:ascii="黑体" w:hAnsi="黑体" w:eastAsia="黑体" w:cs="黑体"/>
          <w:sz w:val="52"/>
          <w:szCs w:val="52"/>
        </w:rPr>
        <w:t>数字化解决方案设计师赛项</w:t>
      </w:r>
    </w:p>
    <w:p>
      <w:pPr>
        <w:jc w:val="center"/>
        <w:rPr>
          <w:rFonts w:hint="eastAsia" w:ascii="黑体" w:hAnsi="黑体" w:eastAsia="黑体" w:cs="黑体"/>
          <w:sz w:val="52"/>
          <w:szCs w:val="52"/>
        </w:rPr>
      </w:pPr>
      <w:r>
        <w:rPr>
          <w:rFonts w:hint="eastAsia" w:ascii="黑体" w:hAnsi="黑体" w:eastAsia="黑体" w:cs="黑体"/>
          <w:sz w:val="52"/>
          <w:szCs w:val="52"/>
        </w:rPr>
        <w:t>技术文件（学生组）</w:t>
      </w:r>
    </w:p>
    <w:p>
      <w:pPr>
        <w:jc w:val="center"/>
        <w:rPr>
          <w:rFonts w:ascii="华文新魏" w:eastAsia="华文新魏"/>
          <w:sz w:val="72"/>
          <w:szCs w:val="72"/>
        </w:rPr>
      </w:pPr>
    </w:p>
    <w:p>
      <w:pPr>
        <w:jc w:val="center"/>
        <w:rPr>
          <w:rFonts w:ascii="华文新魏" w:eastAsia="华文新魏"/>
          <w:sz w:val="52"/>
          <w:szCs w:val="52"/>
        </w:rPr>
      </w:pPr>
    </w:p>
    <w:p>
      <w:pPr>
        <w:jc w:val="center"/>
        <w:rPr>
          <w:rFonts w:ascii="华文新魏" w:eastAsia="华文新魏"/>
          <w:sz w:val="52"/>
          <w:szCs w:val="52"/>
        </w:rPr>
      </w:pPr>
    </w:p>
    <w:p>
      <w:pPr>
        <w:jc w:val="center"/>
        <w:rPr>
          <w:rFonts w:ascii="华文新魏" w:eastAsia="华文新魏"/>
          <w:sz w:val="52"/>
          <w:szCs w:val="52"/>
        </w:rPr>
      </w:pPr>
    </w:p>
    <w:p>
      <w:pPr>
        <w:jc w:val="center"/>
        <w:rPr>
          <w:rFonts w:ascii="华文新魏" w:eastAsia="华文新魏"/>
          <w:sz w:val="52"/>
          <w:szCs w:val="52"/>
        </w:rPr>
      </w:pPr>
    </w:p>
    <w:p>
      <w:pPr>
        <w:jc w:val="center"/>
        <w:rPr>
          <w:rFonts w:ascii="华文新魏" w:eastAsia="华文新魏"/>
          <w:sz w:val="52"/>
          <w:szCs w:val="52"/>
        </w:rPr>
      </w:pPr>
    </w:p>
    <w:p>
      <w:pPr>
        <w:jc w:val="center"/>
        <w:rPr>
          <w:rFonts w:hint="eastAsia" w:ascii="黑体" w:hAnsi="黑体" w:eastAsia="黑体" w:cs="黑体"/>
          <w:b/>
          <w:sz w:val="32"/>
          <w:szCs w:val="32"/>
        </w:rPr>
      </w:pPr>
      <w:r>
        <w:rPr>
          <w:rFonts w:hint="eastAsia" w:ascii="黑体" w:hAnsi="黑体" w:eastAsia="黑体" w:cs="黑体"/>
          <w:b/>
          <w:sz w:val="32"/>
          <w:szCs w:val="32"/>
        </w:rPr>
        <w:t>第十九届“振兴杯”全国青年职业技能大赛组委会</w:t>
      </w:r>
    </w:p>
    <w:p>
      <w:pPr>
        <w:jc w:val="center"/>
        <w:rPr>
          <w:b/>
          <w:bCs/>
          <w:sz w:val="36"/>
          <w:szCs w:val="36"/>
        </w:rPr>
      </w:pPr>
      <w:r>
        <w:rPr>
          <w:rFonts w:hint="eastAsia" w:ascii="黑体" w:hAnsi="黑体" w:eastAsia="黑体" w:cs="黑体"/>
          <w:b/>
          <w:sz w:val="32"/>
          <w:szCs w:val="32"/>
        </w:rPr>
        <w:t xml:space="preserve">2026年 </w:t>
      </w:r>
      <w:r>
        <w:rPr>
          <w:rFonts w:hint="eastAsia" w:ascii="黑体" w:hAnsi="黑体" w:eastAsia="黑体" w:cs="黑体"/>
          <w:b/>
          <w:sz w:val="32"/>
          <w:szCs w:val="32"/>
          <w:lang w:val="en-US" w:eastAsia="zh-CN"/>
        </w:rPr>
        <w:t>7</w:t>
      </w:r>
      <w:bookmarkStart w:id="26" w:name="_GoBack"/>
      <w:bookmarkEnd w:id="26"/>
      <w:r>
        <w:rPr>
          <w:rFonts w:hint="eastAsia" w:ascii="黑体" w:hAnsi="黑体" w:eastAsia="黑体" w:cs="黑体"/>
          <w:b/>
          <w:sz w:val="32"/>
          <w:szCs w:val="32"/>
        </w:rPr>
        <w:t xml:space="preserve"> 月</w:t>
      </w:r>
    </w:p>
    <w:p>
      <w:pPr>
        <w:spacing w:line="500" w:lineRule="exact"/>
        <w:rPr>
          <w:b/>
          <w:bCs/>
          <w:sz w:val="36"/>
          <w:szCs w:val="36"/>
        </w:rPr>
      </w:pPr>
    </w:p>
    <w:p>
      <w:pPr>
        <w:spacing w:line="500" w:lineRule="exact"/>
        <w:rPr>
          <w:b/>
          <w:bCs/>
          <w:sz w:val="36"/>
          <w:szCs w:val="36"/>
        </w:rPr>
      </w:pPr>
    </w:p>
    <w:p>
      <w:pPr>
        <w:spacing w:line="500" w:lineRule="exact"/>
        <w:rPr>
          <w:b/>
          <w:bCs/>
          <w:sz w:val="36"/>
          <w:szCs w:val="36"/>
        </w:rPr>
      </w:pPr>
    </w:p>
    <w:p>
      <w:pPr>
        <w:spacing w:line="500" w:lineRule="exact"/>
        <w:rPr>
          <w:b/>
          <w:bCs/>
          <w:sz w:val="36"/>
          <w:szCs w:val="36"/>
        </w:rPr>
      </w:pPr>
    </w:p>
    <w:p>
      <w:pPr>
        <w:spacing w:line="500" w:lineRule="exact"/>
        <w:jc w:val="center"/>
        <w:rPr>
          <w:rFonts w:hint="eastAsia" w:ascii="黑体" w:hAnsi="黑体" w:eastAsia="黑体" w:cs="黑体"/>
          <w:b/>
          <w:bCs/>
          <w:sz w:val="32"/>
          <w:szCs w:val="32"/>
        </w:rPr>
      </w:pPr>
      <w:r>
        <w:rPr>
          <w:rFonts w:hint="eastAsia" w:ascii="黑体" w:hAnsi="黑体" w:eastAsia="黑体" w:cs="黑体"/>
          <w:b/>
          <w:bCs/>
          <w:sz w:val="32"/>
          <w:szCs w:val="32"/>
        </w:rPr>
        <w:t>第十九届“振兴杯”全国青年职业技能大赛</w:t>
      </w:r>
    </w:p>
    <w:p>
      <w:pPr>
        <w:spacing w:line="500" w:lineRule="exact"/>
        <w:jc w:val="center"/>
        <w:rPr>
          <w:rFonts w:hint="eastAsia" w:ascii="黑体" w:hAnsi="黑体" w:eastAsia="黑体" w:cs="黑体"/>
          <w:b/>
          <w:bCs/>
          <w:sz w:val="32"/>
          <w:szCs w:val="32"/>
        </w:rPr>
      </w:pPr>
      <w:r>
        <w:rPr>
          <w:rFonts w:hint="eastAsia" w:ascii="黑体" w:hAnsi="黑体" w:eastAsia="黑体" w:cs="黑体"/>
          <w:b/>
          <w:bCs/>
          <w:sz w:val="32"/>
          <w:szCs w:val="32"/>
        </w:rPr>
        <w:t>数字化解决方案设计师赛项（学生组）决赛技术文件</w:t>
      </w:r>
    </w:p>
    <w:p>
      <w:pPr>
        <w:spacing w:before="156" w:beforeLines="50" w:after="156" w:afterLines="50" w:line="360" w:lineRule="auto"/>
        <w:ind w:firstLine="602" w:firstLineChars="200"/>
        <w:rPr>
          <w:rFonts w:hint="eastAsia" w:ascii="仿宋" w:hAnsi="仿宋" w:eastAsia="仿宋"/>
          <w:b/>
          <w:bCs/>
          <w:sz w:val="28"/>
          <w:szCs w:val="28"/>
        </w:rPr>
      </w:pPr>
      <w:r>
        <w:rPr>
          <w:rFonts w:hint="eastAsia" w:ascii="黑体" w:hAnsi="黑体" w:eastAsia="黑体" w:cs="黑体"/>
          <w:b/>
          <w:bCs/>
          <w:sz w:val="30"/>
          <w:szCs w:val="30"/>
        </w:rPr>
        <w:t>一、竞赛标准</w:t>
      </w:r>
    </w:p>
    <w:p>
      <w:pPr>
        <w:spacing w:line="360" w:lineRule="auto"/>
        <w:ind w:firstLine="480" w:firstLineChars="200"/>
        <w:rPr>
          <w:rFonts w:hint="eastAsia" w:ascii="仿宋" w:hAnsi="仿宋" w:eastAsia="仿宋"/>
          <w:sz w:val="24"/>
        </w:rPr>
      </w:pPr>
      <w:r>
        <w:rPr>
          <w:rFonts w:hint="eastAsia" w:ascii="Noto Sans Mono CJK JP Regular" w:hAnsi="Noto Sans Mono CJK JP Regular" w:eastAsia="华文细黑" w:cs="Noto Sans Mono CJK JP Regular"/>
          <w:kern w:val="0"/>
          <w:sz w:val="24"/>
          <w:szCs w:val="22"/>
        </w:rPr>
        <w:t>数字化解决方案设计师项目的技术标准是以《数字化解决方案设计师国家职业标准》中级(国家职业资格四级)为基础，并涵盖国家职业资格四级以下和部分高级（国家职业资格三级）的内容。</w:t>
      </w:r>
    </w:p>
    <w:p>
      <w:pPr>
        <w:spacing w:before="156" w:beforeLines="50" w:after="156" w:afterLines="50" w:line="360" w:lineRule="auto"/>
        <w:ind w:firstLine="602" w:firstLineChars="200"/>
        <w:rPr>
          <w:rFonts w:hint="eastAsia" w:ascii="仿宋" w:hAnsi="仿宋" w:eastAsia="仿宋"/>
          <w:b/>
          <w:bCs/>
          <w:sz w:val="28"/>
          <w:szCs w:val="28"/>
        </w:rPr>
      </w:pPr>
      <w:r>
        <w:rPr>
          <w:rFonts w:hint="eastAsia" w:ascii="黑体" w:hAnsi="黑体" w:eastAsia="黑体" w:cs="黑体"/>
          <w:b/>
          <w:bCs/>
          <w:sz w:val="30"/>
          <w:szCs w:val="30"/>
        </w:rPr>
        <w:t>二、命题原则</w:t>
      </w:r>
    </w:p>
    <w:p>
      <w:pPr>
        <w:spacing w:line="360" w:lineRule="auto"/>
        <w:ind w:firstLine="480" w:firstLineChars="200"/>
        <w:rPr>
          <w:rFonts w:hint="eastAsia" w:ascii="仿宋" w:hAnsi="仿宋" w:eastAsia="仿宋"/>
          <w:sz w:val="24"/>
        </w:rPr>
      </w:pPr>
      <w:r>
        <w:rPr>
          <w:rFonts w:hint="eastAsia" w:ascii="Noto Sans Mono CJK JP Regular" w:hAnsi="Noto Sans Mono CJK JP Regular" w:eastAsia="华文细黑" w:cs="Noto Sans Mono CJK JP Regular"/>
          <w:kern w:val="0"/>
          <w:sz w:val="24"/>
          <w:szCs w:val="22"/>
        </w:rPr>
        <w:t>依据《数字化解决方案设计师国家职业标准》，注重基本技能和专业化操作，注重操作过程和质量控制，注重安全生产以及职业道德和标准规范，体现现代技术，结合生产实际，考核职业综合能力，并对技能人才培养起到示范指导作用。</w:t>
      </w:r>
    </w:p>
    <w:p>
      <w:pPr>
        <w:spacing w:before="156" w:beforeLines="50" w:after="156" w:afterLines="50" w:line="360" w:lineRule="auto"/>
        <w:ind w:firstLine="602" w:firstLineChars="200"/>
        <w:rPr>
          <w:rFonts w:hint="eastAsia" w:ascii="仿宋" w:hAnsi="仿宋" w:eastAsia="仿宋"/>
          <w:b/>
          <w:bCs/>
          <w:sz w:val="28"/>
          <w:szCs w:val="28"/>
        </w:rPr>
      </w:pPr>
      <w:r>
        <w:rPr>
          <w:rFonts w:hint="eastAsia" w:ascii="黑体" w:hAnsi="黑体" w:eastAsia="黑体" w:cs="黑体"/>
          <w:b/>
          <w:bCs/>
          <w:sz w:val="30"/>
          <w:szCs w:val="30"/>
        </w:rPr>
        <w:t>三、竞赛方式、时间与成绩计算</w:t>
      </w:r>
    </w:p>
    <w:p>
      <w:pPr>
        <w:tabs>
          <w:tab w:val="left" w:pos="3240"/>
        </w:tabs>
        <w:spacing w:line="360" w:lineRule="auto"/>
        <w:ind w:firstLine="480" w:firstLineChars="200"/>
        <w:rPr>
          <w:rFonts w:hint="eastAsia" w:ascii="仿宋" w:hAnsi="仿宋" w:eastAsia="仿宋"/>
          <w:b/>
          <w:bCs/>
          <w:sz w:val="24"/>
        </w:rPr>
      </w:pPr>
      <w:r>
        <w:rPr>
          <w:rFonts w:hint="eastAsia" w:ascii="Calibri" w:hAnsi="Calibri" w:eastAsia="华文细黑"/>
          <w:b/>
          <w:bCs/>
          <w:sz w:val="24"/>
        </w:rPr>
        <w:t>（一）竞赛方式</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rPr>
        <w:t>竞赛包括理论知识和实际操作竞赛两部分，均由1名选手独立完成。</w:t>
      </w:r>
    </w:p>
    <w:p>
      <w:pPr>
        <w:tabs>
          <w:tab w:val="left" w:pos="3240"/>
        </w:tabs>
        <w:spacing w:line="360" w:lineRule="auto"/>
        <w:ind w:firstLine="480" w:firstLineChars="200"/>
        <w:rPr>
          <w:rFonts w:ascii="Calibri" w:hAnsi="Calibri" w:eastAsia="华文细黑"/>
          <w:b/>
          <w:bCs/>
          <w:sz w:val="24"/>
        </w:rPr>
      </w:pPr>
      <w:r>
        <w:rPr>
          <w:rFonts w:hint="eastAsia" w:ascii="Calibri" w:hAnsi="Calibri" w:eastAsia="华文细黑"/>
          <w:b/>
          <w:bCs/>
          <w:sz w:val="24"/>
        </w:rPr>
        <w:t>（二）竞赛时间</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rPr>
        <w:t>1．理论知识竞赛时间80分钟。</w:t>
      </w:r>
    </w:p>
    <w:p>
      <w:pPr>
        <w:spacing w:line="360" w:lineRule="auto"/>
        <w:ind w:firstLine="480" w:firstLineChars="200"/>
        <w:rPr>
          <w:rFonts w:ascii="Calibri" w:hAnsi="Calibri" w:eastAsia="华文细黑"/>
          <w:sz w:val="24"/>
        </w:rPr>
      </w:pPr>
      <w:r>
        <w:rPr>
          <w:rFonts w:hint="eastAsia" w:ascii="Noto Sans Mono CJK JP Regular" w:hAnsi="Noto Sans Mono CJK JP Regular" w:eastAsia="华文细黑" w:cs="Noto Sans Mono CJK JP Regular"/>
          <w:kern w:val="0"/>
          <w:sz w:val="24"/>
          <w:szCs w:val="22"/>
        </w:rPr>
        <w:t>2．</w:t>
      </w:r>
      <w:bookmarkStart w:id="0" w:name="_Hlk229687257"/>
      <w:r>
        <w:rPr>
          <w:rFonts w:hint="eastAsia" w:ascii="Noto Sans Mono CJK JP Regular" w:hAnsi="Noto Sans Mono CJK JP Regular" w:eastAsia="华文细黑" w:cs="Noto Sans Mono CJK JP Regular"/>
          <w:kern w:val="0"/>
          <w:sz w:val="24"/>
          <w:szCs w:val="22"/>
        </w:rPr>
        <w:t>实际操作竞赛总时间210分钟（不含评分时间），其中模块一操作比赛时间90分钟（不含评分时间），模块二操作比赛时间120分钟（不含评分时间）。</w:t>
      </w:r>
      <w:bookmarkEnd w:id="0"/>
    </w:p>
    <w:p>
      <w:pPr>
        <w:tabs>
          <w:tab w:val="left" w:pos="3240"/>
        </w:tabs>
        <w:spacing w:line="360" w:lineRule="auto"/>
        <w:ind w:firstLine="480" w:firstLineChars="200"/>
        <w:rPr>
          <w:rFonts w:ascii="Calibri" w:hAnsi="Calibri" w:eastAsia="华文细黑"/>
          <w:b/>
          <w:bCs/>
          <w:sz w:val="24"/>
        </w:rPr>
      </w:pPr>
      <w:r>
        <w:rPr>
          <w:rFonts w:hint="eastAsia" w:ascii="Calibri" w:hAnsi="Calibri" w:eastAsia="华文细黑"/>
          <w:b/>
          <w:bCs/>
          <w:sz w:val="24"/>
        </w:rPr>
        <w:t>（三）成绩计算</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rPr>
        <w:t>竞赛总成绩由理论知识和实际操作比赛两部分成绩组成。竞赛总成绩作为参赛选手名次排序的依据。</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rPr>
        <w:t>若参赛选手总成绩相同，实际操作比赛成绩高的选手名次在前。参赛选手总成绩和实际操作比赛成绩均相同，实际操作模块二得分高的选手名次在前。参赛选手总成绩、实际操作比赛成绩和实际操作模块二比赛成绩均相同，</w:t>
      </w:r>
      <w:bookmarkStart w:id="1" w:name="_Hlk229687497"/>
      <w:r>
        <w:rPr>
          <w:rFonts w:hint="eastAsia" w:ascii="Noto Sans Mono CJK JP Regular" w:hAnsi="Noto Sans Mono CJK JP Regular" w:eastAsia="华文细黑" w:cs="Noto Sans Mono CJK JP Regular"/>
          <w:kern w:val="0"/>
          <w:sz w:val="24"/>
          <w:szCs w:val="22"/>
        </w:rPr>
        <w:t>则按照实际操作模块二得分模块的子模块次序进行优先排序，从子模块一开始依次比较各得分模块的分数，</w:t>
      </w:r>
      <w:bookmarkEnd w:id="1"/>
      <w:r>
        <w:rPr>
          <w:rFonts w:hint="eastAsia" w:ascii="Noto Sans Mono CJK JP Regular" w:hAnsi="Noto Sans Mono CJK JP Regular" w:eastAsia="华文细黑" w:cs="Noto Sans Mono CJK JP Regular"/>
          <w:kern w:val="0"/>
          <w:sz w:val="24"/>
          <w:szCs w:val="22"/>
        </w:rPr>
        <w:t>分数不相同的模块，该模块得分高的选手名次在前。如果模块二得分的模块仍旧无法分出选手的成绩名次，则依据同样的办法进行模块一得分的比较来确定名次。</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rPr>
        <w:t>1．理论知识竞赛（计算机答题）满分100分，占总成绩的30％（其中时事政治题占总成绩的10％）。</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rPr>
        <w:t>2．实际操作成绩满分100分，占总成绩的70％。其中模块一满分35分，模块二满分65分。</w:t>
      </w:r>
    </w:p>
    <w:p>
      <w:pPr>
        <w:spacing w:before="156" w:beforeLines="50" w:after="156" w:afterLines="50" w:line="360" w:lineRule="auto"/>
        <w:ind w:firstLine="602" w:firstLineChars="200"/>
        <w:rPr>
          <w:rFonts w:hint="eastAsia" w:ascii="黑体" w:hAnsi="黑体" w:eastAsia="黑体" w:cs="黑体"/>
          <w:b/>
          <w:bCs/>
          <w:sz w:val="30"/>
          <w:szCs w:val="30"/>
        </w:rPr>
      </w:pPr>
      <w:r>
        <w:rPr>
          <w:rFonts w:hint="eastAsia" w:ascii="黑体" w:hAnsi="黑体" w:eastAsia="黑体" w:cs="黑体"/>
          <w:b/>
          <w:bCs/>
          <w:sz w:val="30"/>
          <w:szCs w:val="30"/>
        </w:rPr>
        <w:t>四、竞赛范围、比重、类型及其它</w:t>
      </w:r>
    </w:p>
    <w:p>
      <w:pPr>
        <w:tabs>
          <w:tab w:val="left" w:pos="3240"/>
        </w:tabs>
        <w:spacing w:line="360" w:lineRule="auto"/>
        <w:ind w:firstLine="480" w:firstLineChars="200"/>
        <w:rPr>
          <w:rFonts w:hint="eastAsia" w:ascii="仿宋" w:hAnsi="仿宋" w:eastAsia="仿宋"/>
          <w:b/>
          <w:bCs/>
          <w:sz w:val="24"/>
        </w:rPr>
      </w:pPr>
      <w:r>
        <w:rPr>
          <w:rFonts w:hint="eastAsia" w:ascii="Calibri" w:hAnsi="Calibri" w:eastAsia="华文细黑"/>
          <w:b/>
          <w:bCs/>
          <w:sz w:val="24"/>
        </w:rPr>
        <w:t>（一）理论知识竞赛</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rPr>
        <w:t>1．试题范围</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bookmarkStart w:id="2" w:name="OLE_LINK1"/>
      <w:r>
        <w:rPr>
          <w:rFonts w:hint="eastAsia" w:ascii="Noto Sans Mono CJK JP Regular" w:hAnsi="Noto Sans Mono CJK JP Regular" w:eastAsia="华文细黑" w:cs="Noto Sans Mono CJK JP Regular"/>
          <w:kern w:val="0"/>
          <w:sz w:val="24"/>
          <w:szCs w:val="22"/>
        </w:rPr>
        <w:t>理论知识竞赛</w:t>
      </w:r>
      <w:bookmarkEnd w:id="2"/>
      <w:r>
        <w:rPr>
          <w:rFonts w:hint="eastAsia" w:ascii="Noto Sans Mono CJK JP Regular" w:hAnsi="Noto Sans Mono CJK JP Regular" w:eastAsia="华文细黑" w:cs="Noto Sans Mono CJK JP Regular"/>
          <w:kern w:val="0"/>
          <w:sz w:val="24"/>
          <w:szCs w:val="22"/>
        </w:rPr>
        <w:t>以竞赛题库作为参考资料，决赛前两个月在团中央网站上公布理论知识竞赛题库（不含时事政治题），时事政治题单独命题。</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bookmarkStart w:id="3" w:name="OLE_LINK4"/>
      <w:r>
        <w:rPr>
          <w:rFonts w:hint="eastAsia" w:ascii="Noto Sans Mono CJK JP Regular" w:hAnsi="Noto Sans Mono CJK JP Regular" w:eastAsia="华文细黑" w:cs="Noto Sans Mono CJK JP Regular"/>
          <w:kern w:val="0"/>
          <w:sz w:val="24"/>
          <w:szCs w:val="22"/>
        </w:rPr>
        <w:t>考核内容：主要包括数字化转型战略与政策、需求分析与业务建模、云计算与云原生架构、大数据与人工智能基础、物联网与通信技术、系统设计与解决方案架构、数据安全与合规管理、行业应用场景与项目交付、安全生产与环境保护知识</w:t>
      </w:r>
      <w:bookmarkStart w:id="4" w:name="_Hlk229685369"/>
      <w:r>
        <w:rPr>
          <w:rFonts w:hint="eastAsia" w:ascii="Noto Sans Mono CJK JP Regular" w:hAnsi="Noto Sans Mono CJK JP Regular" w:eastAsia="华文细黑" w:cs="Noto Sans Mono CJK JP Regular"/>
          <w:kern w:val="0"/>
          <w:sz w:val="24"/>
          <w:szCs w:val="22"/>
        </w:rPr>
        <w:t>以及数字化解决方案设计师涉国家职业标准涉及的其它技术等。</w:t>
      </w:r>
    </w:p>
    <w:bookmarkEnd w:id="3"/>
    <w:bookmarkEnd w:id="4"/>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rPr>
        <w:t>2．试题题型</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rPr>
        <w:t>竞赛试题包括判断题与选择题两种类型。</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rPr>
        <w:t>3．竞赛方式</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rPr>
        <w:t>理论知识竞赛采用计算机软件答题。决赛前一个月可以在大赛官网上模拟答题。</w:t>
      </w:r>
    </w:p>
    <w:p>
      <w:pPr>
        <w:tabs>
          <w:tab w:val="left" w:pos="3240"/>
        </w:tabs>
        <w:spacing w:line="360" w:lineRule="auto"/>
        <w:ind w:firstLine="480" w:firstLineChars="200"/>
        <w:rPr>
          <w:rFonts w:ascii="Calibri" w:hAnsi="Calibri" w:eastAsia="华文细黑"/>
          <w:b/>
          <w:bCs/>
          <w:sz w:val="24"/>
        </w:rPr>
      </w:pPr>
      <w:r>
        <w:rPr>
          <w:rFonts w:hint="eastAsia" w:ascii="Calibri" w:hAnsi="Calibri" w:eastAsia="华文细黑"/>
          <w:b/>
          <w:bCs/>
          <w:sz w:val="24"/>
        </w:rPr>
        <w:t>（二）实际操作竞赛</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rPr>
        <w:t>本次实操竞赛以操作技能为主，安全文明生产在实际操作比赛过程中进行考查，不再单独命题。</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rPr>
        <w:t>1.试题范围</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rPr>
        <w:t xml:space="preserve">（1）模块一 </w:t>
      </w:r>
      <w:bookmarkStart w:id="5" w:name="OLE_LINK11"/>
      <w:r>
        <w:rPr>
          <w:rFonts w:hint="eastAsia" w:ascii="Noto Sans Mono CJK JP Regular" w:hAnsi="Noto Sans Mono CJK JP Regular" w:eastAsia="华文细黑" w:cs="Noto Sans Mono CJK JP Regular"/>
          <w:kern w:val="0"/>
          <w:sz w:val="24"/>
          <w:szCs w:val="22"/>
        </w:rPr>
        <w:t>数字化专网规划部署与行业应用</w:t>
      </w:r>
      <w:bookmarkEnd w:id="5"/>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rPr>
        <w:t>根据竞赛组委会提供的竞赛平台和有关资料及操作技能要求，参赛的选手完成下列工作任务：</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ascii="Noto Sans Mono CJK JP Regular" w:hAnsi="Noto Sans Mono CJK JP Regular" w:eastAsia="华文细黑" w:cs="Noto Sans Mono CJK JP Regular"/>
          <w:kern w:val="0"/>
          <w:sz w:val="24"/>
          <w:szCs w:val="22"/>
        </w:rPr>
        <w:t>1）根据任务书场景需求，开展</w:t>
      </w:r>
      <w:bookmarkStart w:id="6" w:name="OLE_LINK15"/>
      <w:r>
        <w:rPr>
          <w:rFonts w:ascii="Noto Sans Mono CJK JP Regular" w:hAnsi="Noto Sans Mono CJK JP Regular" w:eastAsia="华文细黑" w:cs="Noto Sans Mono CJK JP Regular"/>
          <w:kern w:val="0"/>
          <w:sz w:val="24"/>
          <w:szCs w:val="22"/>
        </w:rPr>
        <w:t>数字化专网</w:t>
      </w:r>
      <w:bookmarkStart w:id="7" w:name="OLE_LINK14"/>
      <w:r>
        <w:rPr>
          <w:rFonts w:ascii="Noto Sans Mono CJK JP Regular" w:hAnsi="Noto Sans Mono CJK JP Regular" w:eastAsia="华文细黑" w:cs="Noto Sans Mono CJK JP Regular"/>
          <w:kern w:val="0"/>
          <w:sz w:val="24"/>
          <w:szCs w:val="22"/>
        </w:rPr>
        <w:t>场景建模与需求分析</w:t>
      </w:r>
      <w:bookmarkEnd w:id="6"/>
      <w:bookmarkEnd w:id="7"/>
      <w:r>
        <w:rPr>
          <w:rFonts w:ascii="Noto Sans Mono CJK JP Regular" w:hAnsi="Noto Sans Mono CJK JP Regular" w:eastAsia="华文细黑" w:cs="Noto Sans Mono CJK JP Regular"/>
          <w:kern w:val="0"/>
          <w:sz w:val="24"/>
          <w:szCs w:val="22"/>
        </w:rPr>
        <w:t>；</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ascii="Noto Sans Mono CJK JP Regular" w:hAnsi="Noto Sans Mono CJK JP Regular" w:eastAsia="华文细黑" w:cs="Noto Sans Mono CJK JP Regular"/>
          <w:kern w:val="0"/>
          <w:sz w:val="24"/>
          <w:szCs w:val="22"/>
        </w:rPr>
        <w:t>2）基于需求分析结果，进行数字化专网规划设计，完成网络设备的部署、连接与基础配置，实现专网物理层架构的搭建；</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rPr>
        <w:t>3</w:t>
      </w:r>
      <w:r>
        <w:rPr>
          <w:rFonts w:ascii="Noto Sans Mono CJK JP Regular" w:hAnsi="Noto Sans Mono CJK JP Regular" w:eastAsia="华文细黑" w:cs="Noto Sans Mono CJK JP Regular"/>
          <w:kern w:val="0"/>
          <w:sz w:val="24"/>
          <w:szCs w:val="22"/>
        </w:rPr>
        <w:t>）</w:t>
      </w:r>
      <w:r>
        <w:rPr>
          <w:rFonts w:hint="eastAsia" w:ascii="Noto Sans Mono CJK JP Regular" w:hAnsi="Noto Sans Mono CJK JP Regular" w:eastAsia="华文细黑" w:cs="Noto Sans Mono CJK JP Regular"/>
          <w:kern w:val="0"/>
          <w:sz w:val="24"/>
          <w:szCs w:val="22"/>
        </w:rPr>
        <w:t>按照任务书要求，</w:t>
      </w:r>
      <w:r>
        <w:rPr>
          <w:rFonts w:ascii="Noto Sans Mono CJK JP Regular" w:hAnsi="Noto Sans Mono CJK JP Regular" w:eastAsia="华文细黑" w:cs="Noto Sans Mono CJK JP Regular"/>
          <w:kern w:val="0"/>
          <w:sz w:val="24"/>
          <w:szCs w:val="22"/>
        </w:rPr>
        <w:t>进行数字化专网</w:t>
      </w:r>
      <w:bookmarkStart w:id="8" w:name="OLE_LINK16"/>
      <w:r>
        <w:rPr>
          <w:rFonts w:ascii="Noto Sans Mono CJK JP Regular" w:hAnsi="Noto Sans Mono CJK JP Regular" w:eastAsia="华文细黑" w:cs="Noto Sans Mono CJK JP Regular"/>
          <w:kern w:val="0"/>
          <w:sz w:val="24"/>
          <w:szCs w:val="22"/>
        </w:rPr>
        <w:t>参数精细化配置与优化</w:t>
      </w:r>
      <w:bookmarkEnd w:id="8"/>
      <w:r>
        <w:rPr>
          <w:rFonts w:ascii="Noto Sans Mono CJK JP Regular" w:hAnsi="Noto Sans Mono CJK JP Regular" w:eastAsia="华文细黑" w:cs="Noto Sans Mono CJK JP Regular"/>
          <w:kern w:val="0"/>
          <w:sz w:val="24"/>
          <w:szCs w:val="22"/>
        </w:rPr>
        <w:t>；</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rPr>
        <w:t>4</w:t>
      </w:r>
      <w:r>
        <w:rPr>
          <w:rFonts w:ascii="Noto Sans Mono CJK JP Regular" w:hAnsi="Noto Sans Mono CJK JP Regular" w:eastAsia="华文细黑" w:cs="Noto Sans Mono CJK JP Regular"/>
          <w:kern w:val="0"/>
          <w:sz w:val="24"/>
          <w:szCs w:val="22"/>
        </w:rPr>
        <w:t>）依据行业标准与任务书要求，进行项目</w:t>
      </w:r>
      <w:bookmarkStart w:id="9" w:name="OLE_LINK17"/>
      <w:r>
        <w:rPr>
          <w:rFonts w:ascii="Noto Sans Mono CJK JP Regular" w:hAnsi="Noto Sans Mono CJK JP Regular" w:eastAsia="华文细黑" w:cs="Noto Sans Mono CJK JP Regular"/>
          <w:kern w:val="0"/>
          <w:sz w:val="24"/>
          <w:szCs w:val="22"/>
        </w:rPr>
        <w:t>验收测试与文档编写</w:t>
      </w:r>
      <w:bookmarkEnd w:id="9"/>
      <w:r>
        <w:rPr>
          <w:rFonts w:ascii="Noto Sans Mono CJK JP Regular" w:hAnsi="Noto Sans Mono CJK JP Regular" w:eastAsia="华文细黑" w:cs="Noto Sans Mono CJK JP Regular"/>
          <w:kern w:val="0"/>
          <w:sz w:val="24"/>
          <w:szCs w:val="22"/>
        </w:rPr>
        <w:t>，确保数字化专网功能与安全性符合交付标准；</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bookmarkStart w:id="10" w:name="OLE_LINK6"/>
      <w:r>
        <w:rPr>
          <w:rFonts w:hint="eastAsia" w:ascii="Noto Sans Mono CJK JP Regular" w:hAnsi="Noto Sans Mono CJK JP Regular" w:eastAsia="华文细黑" w:cs="Noto Sans Mono CJK JP Regular"/>
          <w:kern w:val="0"/>
          <w:sz w:val="24"/>
          <w:szCs w:val="22"/>
        </w:rPr>
        <w:t>5）操作过程要求按照操作规程、安全文明生产进行。</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rPr>
        <w:t>（2）模块二 数字化解决方案设计与呈现</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rPr>
        <w:t>根据竞赛组委会提供的竞赛平台和有关资料及操作技能要求，参赛的选手完成下列工作任务：</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rPr>
        <w:t>1）按照任务书的场景需求，开展数字化转型需求分析，完成标准产品选型；</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bookmarkStart w:id="11" w:name="OLE_LINK10"/>
      <w:r>
        <w:rPr>
          <w:rFonts w:ascii="Noto Sans Mono CJK JP Regular" w:hAnsi="Noto Sans Mono CJK JP Regular" w:eastAsia="华文细黑" w:cs="Noto Sans Mono CJK JP Regular"/>
          <w:kern w:val="0"/>
          <w:sz w:val="24"/>
          <w:szCs w:val="22"/>
        </w:rPr>
        <w:t>2</w:t>
      </w:r>
      <w:r>
        <w:rPr>
          <w:rFonts w:hint="eastAsia" w:ascii="Noto Sans Mono CJK JP Regular" w:hAnsi="Noto Sans Mono CJK JP Regular" w:eastAsia="华文细黑" w:cs="Noto Sans Mono CJK JP Regular"/>
          <w:kern w:val="0"/>
          <w:sz w:val="24"/>
          <w:szCs w:val="22"/>
        </w:rPr>
        <w:t>）</w:t>
      </w:r>
      <w:bookmarkEnd w:id="11"/>
      <w:r>
        <w:rPr>
          <w:rFonts w:hint="eastAsia" w:ascii="Noto Sans Mono CJK JP Regular" w:hAnsi="Noto Sans Mono CJK JP Regular" w:eastAsia="华文细黑" w:cs="Noto Sans Mono CJK JP Regular"/>
          <w:kern w:val="0"/>
          <w:sz w:val="24"/>
          <w:szCs w:val="22"/>
        </w:rPr>
        <w:t>按照任务书要求，进行数字化方案设计；</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ascii="Noto Sans Mono CJK JP Regular" w:hAnsi="Noto Sans Mono CJK JP Regular" w:eastAsia="华文细黑" w:cs="Noto Sans Mono CJK JP Regular"/>
          <w:kern w:val="0"/>
          <w:sz w:val="24"/>
          <w:szCs w:val="22"/>
        </w:rPr>
        <w:t>3</w:t>
      </w:r>
      <w:r>
        <w:rPr>
          <w:rFonts w:hint="eastAsia" w:ascii="Noto Sans Mono CJK JP Regular" w:hAnsi="Noto Sans Mono CJK JP Regular" w:eastAsia="华文细黑" w:cs="Noto Sans Mono CJK JP Regular"/>
          <w:kern w:val="0"/>
          <w:sz w:val="24"/>
          <w:szCs w:val="22"/>
        </w:rPr>
        <w:t>）</w:t>
      </w:r>
      <w:bookmarkStart w:id="12" w:name="OLE_LINK9"/>
      <w:r>
        <w:rPr>
          <w:rFonts w:hint="eastAsia" w:ascii="Noto Sans Mono CJK JP Regular" w:hAnsi="Noto Sans Mono CJK JP Regular" w:eastAsia="华文细黑" w:cs="Noto Sans Mono CJK JP Regular"/>
          <w:kern w:val="0"/>
          <w:sz w:val="24"/>
          <w:szCs w:val="22"/>
        </w:rPr>
        <w:t>按照任务书要求，</w:t>
      </w:r>
      <w:bookmarkEnd w:id="12"/>
      <w:r>
        <w:rPr>
          <w:rFonts w:hint="eastAsia" w:ascii="Noto Sans Mono CJK JP Regular" w:hAnsi="Noto Sans Mono CJK JP Regular" w:eastAsia="华文细黑" w:cs="Noto Sans Mono CJK JP Regular"/>
          <w:kern w:val="0"/>
          <w:sz w:val="24"/>
          <w:szCs w:val="22"/>
        </w:rPr>
        <w:t>完成设备的数字化转型模块搭建；</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ascii="Noto Sans Mono CJK JP Regular" w:hAnsi="Noto Sans Mono CJK JP Regular" w:eastAsia="华文细黑" w:cs="Noto Sans Mono CJK JP Regular"/>
          <w:kern w:val="0"/>
          <w:sz w:val="24"/>
          <w:szCs w:val="22"/>
        </w:rPr>
        <w:t>4</w:t>
      </w:r>
      <w:r>
        <w:rPr>
          <w:rFonts w:hint="eastAsia" w:ascii="Noto Sans Mono CJK JP Regular" w:hAnsi="Noto Sans Mono CJK JP Regular" w:eastAsia="华文细黑" w:cs="Noto Sans Mono CJK JP Regular"/>
          <w:kern w:val="0"/>
          <w:sz w:val="24"/>
          <w:szCs w:val="22"/>
        </w:rPr>
        <w:t>）按照任务书要求，进行参数设置；</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ascii="Noto Sans Mono CJK JP Regular" w:hAnsi="Noto Sans Mono CJK JP Regular" w:eastAsia="华文细黑" w:cs="Noto Sans Mono CJK JP Regular"/>
          <w:kern w:val="0"/>
          <w:sz w:val="24"/>
          <w:szCs w:val="22"/>
        </w:rPr>
        <w:t>5</w:t>
      </w:r>
      <w:r>
        <w:rPr>
          <w:rFonts w:hint="eastAsia" w:ascii="Noto Sans Mono CJK JP Regular" w:hAnsi="Noto Sans Mono CJK JP Regular" w:eastAsia="华文细黑" w:cs="Noto Sans Mono CJK JP Regular"/>
          <w:kern w:val="0"/>
          <w:sz w:val="24"/>
          <w:szCs w:val="22"/>
        </w:rPr>
        <w:t>）按照任务书要求，完成数字化解决方案开发与实施，实现任务书要求的各项功能；</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bookmarkStart w:id="13" w:name="OLE_LINK8"/>
      <w:r>
        <w:rPr>
          <w:rFonts w:ascii="Noto Sans Mono CJK JP Regular" w:hAnsi="Noto Sans Mono CJK JP Regular" w:eastAsia="华文细黑" w:cs="Noto Sans Mono CJK JP Regular"/>
          <w:kern w:val="0"/>
          <w:sz w:val="24"/>
          <w:szCs w:val="22"/>
        </w:rPr>
        <w:t>6</w:t>
      </w:r>
      <w:r>
        <w:rPr>
          <w:rFonts w:hint="eastAsia" w:ascii="Noto Sans Mono CJK JP Regular" w:hAnsi="Noto Sans Mono CJK JP Regular" w:eastAsia="华文细黑" w:cs="Noto Sans Mono CJK JP Regular"/>
          <w:kern w:val="0"/>
          <w:sz w:val="24"/>
          <w:szCs w:val="22"/>
        </w:rPr>
        <w:t>）操作过程要求按照操作规程、安全文明生产进行。</w:t>
      </w:r>
    </w:p>
    <w:bookmarkEnd w:id="10"/>
    <w:bookmarkEnd w:id="13"/>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rPr>
        <w:t>2.竞赛方式</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rPr>
        <w:t>采用现场实际操作方式。</w:t>
      </w:r>
    </w:p>
    <w:p>
      <w:pPr>
        <w:spacing w:before="156" w:beforeLines="50" w:after="156" w:afterLines="50" w:line="360" w:lineRule="auto"/>
        <w:ind w:firstLine="602" w:firstLineChars="200"/>
        <w:rPr>
          <w:rFonts w:hint="eastAsia" w:ascii="黑体" w:hAnsi="黑体" w:eastAsia="黑体" w:cs="黑体"/>
          <w:b/>
          <w:bCs/>
          <w:sz w:val="30"/>
          <w:szCs w:val="30"/>
        </w:rPr>
      </w:pPr>
      <w:r>
        <w:rPr>
          <w:rFonts w:hint="eastAsia" w:ascii="黑体" w:hAnsi="黑体" w:eastAsia="黑体" w:cs="黑体"/>
          <w:b/>
          <w:bCs/>
          <w:sz w:val="30"/>
          <w:szCs w:val="30"/>
        </w:rPr>
        <w:t>五、评判标准</w:t>
      </w:r>
    </w:p>
    <w:p>
      <w:pPr>
        <w:tabs>
          <w:tab w:val="left" w:pos="3240"/>
        </w:tabs>
        <w:spacing w:line="360" w:lineRule="auto"/>
        <w:ind w:firstLine="480" w:firstLineChars="200"/>
        <w:rPr>
          <w:rFonts w:hint="eastAsia" w:ascii="仿宋" w:hAnsi="仿宋" w:eastAsia="仿宋"/>
          <w:b/>
          <w:bCs/>
          <w:sz w:val="24"/>
        </w:rPr>
      </w:pPr>
      <w:r>
        <w:rPr>
          <w:rFonts w:hint="eastAsia" w:ascii="Calibri" w:hAnsi="Calibri" w:eastAsia="华文细黑"/>
          <w:b/>
          <w:bCs/>
          <w:sz w:val="24"/>
        </w:rPr>
        <w:t>（一）评判标准的制订原则</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rPr>
        <w:t>参照《数字化解决方案设计师国家职业标准》高级(国家职业资格三级)的相关标准、规范要求进行评判，全面评价参赛选手的职业能力，本着科学严谨、公正公平、可操作性强的原则制定评判标准。</w:t>
      </w:r>
    </w:p>
    <w:p>
      <w:pPr>
        <w:tabs>
          <w:tab w:val="left" w:pos="3240"/>
        </w:tabs>
        <w:spacing w:line="360" w:lineRule="auto"/>
        <w:ind w:firstLine="480" w:firstLineChars="200"/>
        <w:rPr>
          <w:rFonts w:hint="eastAsia" w:ascii="仿宋" w:hAnsi="仿宋" w:eastAsia="仿宋"/>
          <w:b/>
          <w:bCs/>
          <w:sz w:val="24"/>
        </w:rPr>
      </w:pPr>
      <w:r>
        <w:rPr>
          <w:rFonts w:hint="eastAsia" w:ascii="Calibri" w:hAnsi="Calibri" w:eastAsia="华文细黑"/>
          <w:b/>
          <w:bCs/>
          <w:sz w:val="24"/>
        </w:rPr>
        <w:t>（二）实际操做比赛评判细则（评判指标）</w:t>
      </w:r>
    </w:p>
    <w:p>
      <w:pPr>
        <w:snapToGrid w:val="0"/>
        <w:spacing w:before="62" w:beforeLines="20" w:line="360" w:lineRule="auto"/>
        <w:ind w:firstLine="480" w:firstLineChars="200"/>
        <w:rPr>
          <w:rFonts w:hint="eastAsia" w:ascii="仿宋" w:hAnsi="仿宋" w:eastAsia="仿宋"/>
          <w:sz w:val="24"/>
          <w:lang w:val="zh-CN"/>
        </w:rPr>
      </w:pPr>
      <w:r>
        <w:rPr>
          <w:rFonts w:hint="eastAsia" w:ascii="Noto Sans Mono CJK JP Regular" w:hAnsi="Noto Sans Mono CJK JP Regular" w:eastAsia="华文细黑" w:cs="Noto Sans Mono CJK JP Regular"/>
          <w:kern w:val="0"/>
          <w:sz w:val="24"/>
          <w:szCs w:val="22"/>
          <w:lang w:val="zh-CN"/>
        </w:rPr>
        <w:t>评判比例如表1所示。</w:t>
      </w:r>
    </w:p>
    <w:p>
      <w:pPr>
        <w:tabs>
          <w:tab w:val="left" w:pos="3240"/>
        </w:tabs>
        <w:spacing w:line="360" w:lineRule="auto"/>
        <w:jc w:val="center"/>
        <w:rPr>
          <w:rFonts w:ascii="Calibri" w:hAnsi="Calibri" w:eastAsia="华文细黑"/>
          <w:sz w:val="24"/>
          <w:lang w:val="zh-CN"/>
        </w:rPr>
      </w:pPr>
      <w:r>
        <w:rPr>
          <w:rFonts w:hint="eastAsia" w:ascii="Calibri" w:hAnsi="Calibri" w:eastAsia="华文细黑"/>
          <w:b/>
          <w:bCs/>
          <w:sz w:val="24"/>
          <w:lang w:val="zh-CN"/>
        </w:rPr>
        <w:t>表1.  评判指标</w:t>
      </w:r>
    </w:p>
    <w:tbl>
      <w:tblPr>
        <w:tblStyle w:val="12"/>
        <w:tblW w:w="850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3"/>
        <w:gridCol w:w="1276"/>
        <w:gridCol w:w="3933"/>
        <w:gridCol w:w="10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jc w:val="center"/>
        </w:trPr>
        <w:tc>
          <w:tcPr>
            <w:tcW w:w="2263" w:type="dxa"/>
            <w:vAlign w:val="center"/>
          </w:tcPr>
          <w:p>
            <w:pPr>
              <w:snapToGrid w:val="0"/>
              <w:spacing w:before="62" w:beforeLines="20" w:line="360" w:lineRule="auto"/>
              <w:jc w:val="center"/>
              <w:rPr>
                <w:rFonts w:hint="eastAsia" w:ascii="Noto Sans Mono CJK JP Regular" w:hAnsi="Noto Sans Mono CJK JP Regular" w:eastAsia="华文细黑" w:cs="Noto Sans Mono CJK JP Regular"/>
                <w:b/>
                <w:bCs/>
                <w:kern w:val="0"/>
                <w:szCs w:val="21"/>
                <w:lang w:val="zh-CN"/>
              </w:rPr>
            </w:pPr>
            <w:r>
              <w:rPr>
                <w:rFonts w:hint="eastAsia" w:ascii="Noto Sans Mono CJK JP Regular" w:hAnsi="Noto Sans Mono CJK JP Regular" w:eastAsia="华文细黑" w:cs="Noto Sans Mono CJK JP Regular"/>
                <w:b/>
                <w:bCs/>
                <w:kern w:val="0"/>
                <w:szCs w:val="21"/>
                <w:lang w:val="zh-CN"/>
              </w:rPr>
              <w:t>一级指标</w:t>
            </w:r>
          </w:p>
        </w:tc>
        <w:tc>
          <w:tcPr>
            <w:tcW w:w="1276" w:type="dxa"/>
            <w:vAlign w:val="center"/>
          </w:tcPr>
          <w:p>
            <w:pPr>
              <w:snapToGrid w:val="0"/>
              <w:spacing w:before="62" w:beforeLines="20" w:line="360" w:lineRule="auto"/>
              <w:jc w:val="center"/>
              <w:rPr>
                <w:rFonts w:hint="eastAsia" w:ascii="Noto Sans Mono CJK JP Regular" w:hAnsi="Noto Sans Mono CJK JP Regular" w:eastAsia="华文细黑" w:cs="Noto Sans Mono CJK JP Regular"/>
                <w:b/>
                <w:bCs/>
                <w:kern w:val="0"/>
                <w:szCs w:val="21"/>
                <w:lang w:val="zh-CN"/>
              </w:rPr>
            </w:pPr>
            <w:r>
              <w:rPr>
                <w:rFonts w:hint="eastAsia" w:ascii="Noto Sans Mono CJK JP Regular" w:hAnsi="Noto Sans Mono CJK JP Regular" w:eastAsia="华文细黑" w:cs="Noto Sans Mono CJK JP Regular"/>
                <w:b/>
                <w:bCs/>
                <w:kern w:val="0"/>
                <w:szCs w:val="21"/>
                <w:lang w:val="zh-CN"/>
              </w:rPr>
              <w:t>比例</w:t>
            </w:r>
          </w:p>
        </w:tc>
        <w:tc>
          <w:tcPr>
            <w:tcW w:w="3933" w:type="dxa"/>
            <w:vAlign w:val="center"/>
          </w:tcPr>
          <w:p>
            <w:pPr>
              <w:snapToGrid w:val="0"/>
              <w:spacing w:before="62" w:beforeLines="20" w:line="360" w:lineRule="auto"/>
              <w:jc w:val="center"/>
              <w:rPr>
                <w:rFonts w:hint="eastAsia" w:ascii="Noto Sans Mono CJK JP Regular" w:hAnsi="Noto Sans Mono CJK JP Regular" w:eastAsia="华文细黑" w:cs="Noto Sans Mono CJK JP Regular"/>
                <w:b/>
                <w:bCs/>
                <w:kern w:val="0"/>
                <w:szCs w:val="21"/>
                <w:lang w:val="zh-CN"/>
              </w:rPr>
            </w:pPr>
            <w:r>
              <w:rPr>
                <w:rFonts w:hint="eastAsia" w:ascii="Noto Sans Mono CJK JP Regular" w:hAnsi="Noto Sans Mono CJK JP Regular" w:eastAsia="华文细黑" w:cs="Noto Sans Mono CJK JP Regular"/>
                <w:b/>
                <w:bCs/>
                <w:kern w:val="0"/>
                <w:szCs w:val="21"/>
                <w:lang w:val="zh-CN"/>
              </w:rPr>
              <w:t>二级指标</w:t>
            </w:r>
          </w:p>
        </w:tc>
        <w:tc>
          <w:tcPr>
            <w:tcW w:w="1033" w:type="dxa"/>
            <w:vAlign w:val="center"/>
          </w:tcPr>
          <w:p>
            <w:pPr>
              <w:snapToGrid w:val="0"/>
              <w:spacing w:before="62" w:beforeLines="20" w:line="360" w:lineRule="auto"/>
              <w:jc w:val="center"/>
              <w:rPr>
                <w:rFonts w:hint="eastAsia" w:ascii="Noto Sans Mono CJK JP Regular" w:hAnsi="Noto Sans Mono CJK JP Regular" w:eastAsia="华文细黑" w:cs="Noto Sans Mono CJK JP Regular"/>
                <w:b/>
                <w:bCs/>
                <w:kern w:val="0"/>
                <w:szCs w:val="21"/>
                <w:lang w:val="zh-CN"/>
              </w:rPr>
            </w:pPr>
            <w:r>
              <w:rPr>
                <w:rFonts w:hint="eastAsia" w:ascii="Noto Sans Mono CJK JP Regular" w:hAnsi="Noto Sans Mono CJK JP Regular" w:eastAsia="华文细黑" w:cs="Noto Sans Mono CJK JP Regular"/>
                <w:b/>
                <w:bCs/>
                <w:kern w:val="0"/>
                <w:szCs w:val="21"/>
                <w:lang w:val="zh-CN"/>
              </w:rPr>
              <w:t>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jc w:val="center"/>
        </w:trPr>
        <w:tc>
          <w:tcPr>
            <w:tcW w:w="2263" w:type="dxa"/>
            <w:vMerge w:val="restart"/>
            <w:vAlign w:val="center"/>
          </w:tcPr>
          <w:p>
            <w:pPr>
              <w:pStyle w:val="4"/>
              <w:rPr>
                <w:rFonts w:hint="eastAsia" w:ascii="Noto Sans Mono CJK JP Regular" w:hAnsi="Noto Sans Mono CJK JP Regular" w:eastAsia="华文细黑" w:cs="Noto Sans Mono CJK JP Regular"/>
                <w:kern w:val="0"/>
                <w:szCs w:val="21"/>
                <w:lang w:val="zh-CN"/>
              </w:rPr>
            </w:pPr>
            <w:r>
              <w:rPr>
                <w:rFonts w:hint="eastAsia" w:ascii="Noto Sans Mono CJK JP Regular" w:hAnsi="Noto Sans Mono CJK JP Regular" w:eastAsia="华文细黑" w:cs="Noto Sans Mono CJK JP Regular"/>
                <w:kern w:val="0"/>
                <w:szCs w:val="21"/>
                <w:lang w:val="zh-CN"/>
              </w:rPr>
              <w:t>模块一</w:t>
            </w:r>
          </w:p>
          <w:p>
            <w:pPr>
              <w:pStyle w:val="4"/>
              <w:rPr>
                <w:rFonts w:hint="eastAsia" w:ascii="Noto Sans Mono CJK JP Regular" w:hAnsi="Noto Sans Mono CJK JP Regular" w:eastAsia="华文细黑" w:cs="Noto Sans Mono CJK JP Regular"/>
                <w:kern w:val="0"/>
                <w:szCs w:val="21"/>
                <w:lang w:val="zh-CN"/>
              </w:rPr>
            </w:pPr>
            <w:r>
              <w:rPr>
                <w:rFonts w:hint="eastAsia" w:ascii="Noto Sans Mono CJK JP Regular" w:hAnsi="Noto Sans Mono CJK JP Regular" w:eastAsia="华文细黑" w:cs="Noto Sans Mono CJK JP Regular"/>
                <w:kern w:val="0"/>
                <w:szCs w:val="21"/>
                <w:lang w:val="zh-CN"/>
              </w:rPr>
              <w:t>数字化专网规划部署与行业应用</w:t>
            </w:r>
          </w:p>
        </w:tc>
        <w:tc>
          <w:tcPr>
            <w:tcW w:w="1276" w:type="dxa"/>
            <w:vMerge w:val="restart"/>
            <w:vAlign w:val="center"/>
          </w:tcPr>
          <w:p>
            <w:pPr>
              <w:pStyle w:val="4"/>
              <w:rPr>
                <w:rFonts w:hint="eastAsia" w:ascii="Noto Sans Mono CJK JP Regular" w:hAnsi="Noto Sans Mono CJK JP Regular" w:eastAsia="华文细黑" w:cs="Noto Sans Mono CJK JP Regular"/>
                <w:kern w:val="0"/>
                <w:szCs w:val="21"/>
                <w:lang w:val="zh-CN"/>
              </w:rPr>
            </w:pPr>
            <w:r>
              <w:rPr>
                <w:rFonts w:hint="eastAsia" w:ascii="Noto Sans Mono CJK JP Regular" w:hAnsi="Noto Sans Mono CJK JP Regular" w:eastAsia="华文细黑" w:cs="Noto Sans Mono CJK JP Regular"/>
                <w:kern w:val="0"/>
                <w:szCs w:val="21"/>
                <w:lang w:val="zh-CN"/>
              </w:rPr>
              <w:t>35%</w:t>
            </w:r>
          </w:p>
        </w:tc>
        <w:tc>
          <w:tcPr>
            <w:tcW w:w="3933" w:type="dxa"/>
            <w:vAlign w:val="center"/>
          </w:tcPr>
          <w:p>
            <w:pPr>
              <w:pStyle w:val="4"/>
              <w:rPr>
                <w:rFonts w:hint="eastAsia" w:ascii="Noto Sans Mono CJK JP Regular" w:hAnsi="Noto Sans Mono CJK JP Regular" w:eastAsia="华文细黑" w:cs="Noto Sans Mono CJK JP Regular"/>
                <w:kern w:val="0"/>
                <w:szCs w:val="21"/>
                <w:lang w:val="zh-CN"/>
              </w:rPr>
            </w:pPr>
            <w:r>
              <w:rPr>
                <w:rFonts w:hint="eastAsia" w:ascii="Noto Sans Mono CJK JP Regular" w:hAnsi="Noto Sans Mono CJK JP Regular" w:eastAsia="华文细黑" w:cs="Noto Sans Mono CJK JP Regular"/>
                <w:kern w:val="0"/>
                <w:szCs w:val="21"/>
                <w:lang w:val="zh-CN"/>
              </w:rPr>
              <w:t>场景建模与需求分析</w:t>
            </w:r>
          </w:p>
        </w:tc>
        <w:tc>
          <w:tcPr>
            <w:tcW w:w="1033" w:type="dxa"/>
            <w:vAlign w:val="center"/>
          </w:tcPr>
          <w:p>
            <w:pPr>
              <w:pStyle w:val="4"/>
              <w:rPr>
                <w:rFonts w:hint="eastAsia" w:ascii="Noto Sans Mono CJK JP Regular" w:hAnsi="Noto Sans Mono CJK JP Regular" w:eastAsia="华文细黑" w:cs="Noto Sans Mono CJK JP Regular"/>
                <w:kern w:val="0"/>
                <w:szCs w:val="21"/>
                <w:lang w:val="zh-CN"/>
              </w:rPr>
            </w:pPr>
            <w:r>
              <w:rPr>
                <w:rFonts w:hint="eastAsia" w:ascii="Noto Sans Mono CJK JP Regular" w:hAnsi="Noto Sans Mono CJK JP Regular" w:eastAsia="华文细黑" w:cs="Noto Sans Mono CJK JP Regular"/>
                <w:kern w:val="0"/>
                <w:szCs w:val="21"/>
                <w:lang w:val="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jc w:val="center"/>
        </w:trPr>
        <w:tc>
          <w:tcPr>
            <w:tcW w:w="2263" w:type="dxa"/>
            <w:vMerge w:val="continue"/>
            <w:vAlign w:val="center"/>
          </w:tcPr>
          <w:p>
            <w:pPr>
              <w:pStyle w:val="4"/>
              <w:rPr>
                <w:rFonts w:hint="eastAsia" w:ascii="Noto Sans Mono CJK JP Regular" w:hAnsi="Noto Sans Mono CJK JP Regular" w:eastAsia="华文细黑" w:cs="Noto Sans Mono CJK JP Regular"/>
                <w:kern w:val="0"/>
                <w:szCs w:val="21"/>
                <w:lang w:val="zh-CN"/>
              </w:rPr>
            </w:pPr>
          </w:p>
        </w:tc>
        <w:tc>
          <w:tcPr>
            <w:tcW w:w="1276" w:type="dxa"/>
            <w:vMerge w:val="continue"/>
            <w:vAlign w:val="center"/>
          </w:tcPr>
          <w:p>
            <w:pPr>
              <w:pStyle w:val="4"/>
              <w:rPr>
                <w:rFonts w:hint="eastAsia" w:ascii="Noto Sans Mono CJK JP Regular" w:hAnsi="Noto Sans Mono CJK JP Regular" w:eastAsia="华文细黑" w:cs="Noto Sans Mono CJK JP Regular"/>
                <w:kern w:val="0"/>
                <w:szCs w:val="21"/>
                <w:lang w:val="zh-CN"/>
              </w:rPr>
            </w:pPr>
          </w:p>
        </w:tc>
        <w:tc>
          <w:tcPr>
            <w:tcW w:w="3933" w:type="dxa"/>
            <w:vAlign w:val="center"/>
          </w:tcPr>
          <w:p>
            <w:pPr>
              <w:pStyle w:val="4"/>
              <w:rPr>
                <w:rFonts w:hint="eastAsia" w:ascii="Noto Sans Mono CJK JP Regular" w:hAnsi="Noto Sans Mono CJK JP Regular" w:eastAsia="华文细黑" w:cs="Noto Sans Mono CJK JP Regular"/>
                <w:kern w:val="0"/>
                <w:szCs w:val="21"/>
                <w:lang w:val="zh-CN"/>
              </w:rPr>
            </w:pPr>
            <w:r>
              <w:rPr>
                <w:rFonts w:ascii="Noto Sans Mono CJK JP Regular" w:hAnsi="Noto Sans Mono CJK JP Regular" w:eastAsia="华文细黑" w:cs="Noto Sans Mono CJK JP Regular"/>
                <w:kern w:val="0"/>
                <w:szCs w:val="21"/>
                <w:lang w:val="zh-CN"/>
              </w:rPr>
              <w:t>规划设计</w:t>
            </w:r>
            <w:r>
              <w:rPr>
                <w:rFonts w:hint="eastAsia" w:ascii="Noto Sans Mono CJK JP Regular" w:hAnsi="Noto Sans Mono CJK JP Regular" w:eastAsia="华文细黑" w:cs="Noto Sans Mono CJK JP Regular"/>
                <w:kern w:val="0"/>
                <w:szCs w:val="21"/>
                <w:lang w:val="zh-CN"/>
              </w:rPr>
              <w:t>与网络部署</w:t>
            </w:r>
          </w:p>
        </w:tc>
        <w:tc>
          <w:tcPr>
            <w:tcW w:w="1033" w:type="dxa"/>
            <w:vAlign w:val="center"/>
          </w:tcPr>
          <w:p>
            <w:pPr>
              <w:pStyle w:val="4"/>
              <w:rPr>
                <w:rFonts w:hint="eastAsia" w:ascii="Noto Sans Mono CJK JP Regular" w:hAnsi="Noto Sans Mono CJK JP Regular" w:eastAsia="华文细黑" w:cs="Noto Sans Mono CJK JP Regular"/>
                <w:kern w:val="0"/>
                <w:szCs w:val="21"/>
                <w:lang w:val="zh-CN"/>
              </w:rPr>
            </w:pPr>
            <w:r>
              <w:rPr>
                <w:rFonts w:hint="eastAsia" w:ascii="Noto Sans Mono CJK JP Regular" w:hAnsi="Noto Sans Mono CJK JP Regular" w:eastAsia="华文细黑" w:cs="Noto Sans Mono CJK JP Regular"/>
                <w:kern w:val="0"/>
                <w:szCs w:val="21"/>
                <w:lang w:val="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jc w:val="center"/>
        </w:trPr>
        <w:tc>
          <w:tcPr>
            <w:tcW w:w="2263" w:type="dxa"/>
            <w:vMerge w:val="continue"/>
            <w:vAlign w:val="center"/>
          </w:tcPr>
          <w:p>
            <w:pPr>
              <w:pStyle w:val="4"/>
              <w:rPr>
                <w:rFonts w:hint="eastAsia" w:ascii="Noto Sans Mono CJK JP Regular" w:hAnsi="Noto Sans Mono CJK JP Regular" w:eastAsia="华文细黑" w:cs="Noto Sans Mono CJK JP Regular"/>
                <w:kern w:val="0"/>
                <w:szCs w:val="21"/>
                <w:lang w:val="zh-CN"/>
              </w:rPr>
            </w:pPr>
          </w:p>
        </w:tc>
        <w:tc>
          <w:tcPr>
            <w:tcW w:w="1276" w:type="dxa"/>
            <w:vMerge w:val="continue"/>
            <w:vAlign w:val="center"/>
          </w:tcPr>
          <w:p>
            <w:pPr>
              <w:pStyle w:val="4"/>
              <w:rPr>
                <w:rFonts w:hint="eastAsia" w:ascii="Noto Sans Mono CJK JP Regular" w:hAnsi="Noto Sans Mono CJK JP Regular" w:eastAsia="华文细黑" w:cs="Noto Sans Mono CJK JP Regular"/>
                <w:kern w:val="0"/>
                <w:szCs w:val="21"/>
                <w:lang w:val="zh-CN"/>
              </w:rPr>
            </w:pPr>
          </w:p>
        </w:tc>
        <w:tc>
          <w:tcPr>
            <w:tcW w:w="3933" w:type="dxa"/>
            <w:vAlign w:val="center"/>
          </w:tcPr>
          <w:p>
            <w:pPr>
              <w:pStyle w:val="4"/>
              <w:rPr>
                <w:rFonts w:hint="eastAsia" w:ascii="Noto Sans Mono CJK JP Regular" w:hAnsi="Noto Sans Mono CJK JP Regular" w:eastAsia="华文细黑" w:cs="Noto Sans Mono CJK JP Regular"/>
                <w:kern w:val="0"/>
                <w:szCs w:val="21"/>
                <w:lang w:val="zh-CN"/>
              </w:rPr>
            </w:pPr>
            <w:r>
              <w:rPr>
                <w:rFonts w:ascii="Noto Sans Mono CJK JP Regular" w:hAnsi="Noto Sans Mono CJK JP Regular" w:eastAsia="华文细黑" w:cs="Noto Sans Mono CJK JP Regular"/>
                <w:kern w:val="0"/>
                <w:szCs w:val="21"/>
                <w:lang w:val="zh-CN"/>
              </w:rPr>
              <w:t>参数精细化配置与优化</w:t>
            </w:r>
          </w:p>
        </w:tc>
        <w:tc>
          <w:tcPr>
            <w:tcW w:w="1033" w:type="dxa"/>
            <w:vAlign w:val="center"/>
          </w:tcPr>
          <w:p>
            <w:pPr>
              <w:pStyle w:val="4"/>
              <w:rPr>
                <w:rFonts w:hint="eastAsia" w:ascii="Noto Sans Mono CJK JP Regular" w:hAnsi="Noto Sans Mono CJK JP Regular" w:eastAsia="华文细黑" w:cs="Noto Sans Mono CJK JP Regular"/>
                <w:kern w:val="0"/>
                <w:szCs w:val="21"/>
                <w:lang w:val="zh-CN"/>
              </w:rPr>
            </w:pPr>
            <w:r>
              <w:rPr>
                <w:rFonts w:hint="eastAsia" w:ascii="Noto Sans Mono CJK JP Regular" w:hAnsi="Noto Sans Mono CJK JP Regular" w:eastAsia="华文细黑" w:cs="Noto Sans Mono CJK JP Regular"/>
                <w:kern w:val="0"/>
                <w:szCs w:val="21"/>
                <w:lang w:val="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jc w:val="center"/>
        </w:trPr>
        <w:tc>
          <w:tcPr>
            <w:tcW w:w="2263" w:type="dxa"/>
            <w:vMerge w:val="continue"/>
            <w:vAlign w:val="center"/>
          </w:tcPr>
          <w:p>
            <w:pPr>
              <w:pStyle w:val="4"/>
              <w:rPr>
                <w:rFonts w:hint="eastAsia" w:ascii="Noto Sans Mono CJK JP Regular" w:hAnsi="Noto Sans Mono CJK JP Regular" w:eastAsia="华文细黑" w:cs="Noto Sans Mono CJK JP Regular"/>
                <w:kern w:val="0"/>
                <w:szCs w:val="21"/>
                <w:lang w:val="zh-CN"/>
              </w:rPr>
            </w:pPr>
          </w:p>
        </w:tc>
        <w:tc>
          <w:tcPr>
            <w:tcW w:w="1276" w:type="dxa"/>
            <w:vMerge w:val="continue"/>
            <w:vAlign w:val="center"/>
          </w:tcPr>
          <w:p>
            <w:pPr>
              <w:pStyle w:val="4"/>
              <w:rPr>
                <w:rFonts w:hint="eastAsia" w:ascii="Noto Sans Mono CJK JP Regular" w:hAnsi="Noto Sans Mono CJK JP Regular" w:eastAsia="华文细黑" w:cs="Noto Sans Mono CJK JP Regular"/>
                <w:kern w:val="0"/>
                <w:szCs w:val="21"/>
                <w:lang w:val="zh-CN"/>
              </w:rPr>
            </w:pPr>
          </w:p>
        </w:tc>
        <w:tc>
          <w:tcPr>
            <w:tcW w:w="3933" w:type="dxa"/>
            <w:vAlign w:val="center"/>
          </w:tcPr>
          <w:p>
            <w:pPr>
              <w:pStyle w:val="4"/>
              <w:rPr>
                <w:rFonts w:hint="eastAsia" w:ascii="Noto Sans Mono CJK JP Regular" w:hAnsi="Noto Sans Mono CJK JP Regular" w:eastAsia="华文细黑" w:cs="Noto Sans Mono CJK JP Regular"/>
                <w:kern w:val="0"/>
                <w:szCs w:val="21"/>
                <w:lang w:val="zh-CN"/>
              </w:rPr>
            </w:pPr>
            <w:r>
              <w:rPr>
                <w:rFonts w:ascii="Noto Sans Mono CJK JP Regular" w:hAnsi="Noto Sans Mono CJK JP Regular" w:eastAsia="华文细黑" w:cs="Noto Sans Mono CJK JP Regular"/>
                <w:kern w:val="0"/>
                <w:szCs w:val="21"/>
                <w:lang w:val="zh-CN"/>
              </w:rPr>
              <w:t>验收测试与文档编写</w:t>
            </w:r>
          </w:p>
        </w:tc>
        <w:tc>
          <w:tcPr>
            <w:tcW w:w="1033" w:type="dxa"/>
            <w:vAlign w:val="center"/>
          </w:tcPr>
          <w:p>
            <w:pPr>
              <w:pStyle w:val="4"/>
              <w:rPr>
                <w:rFonts w:hint="eastAsia" w:ascii="Noto Sans Mono CJK JP Regular" w:hAnsi="Noto Sans Mono CJK JP Regular" w:eastAsia="华文细黑" w:cs="Noto Sans Mono CJK JP Regular"/>
                <w:kern w:val="0"/>
                <w:szCs w:val="21"/>
                <w:lang w:val="zh-CN"/>
              </w:rPr>
            </w:pPr>
            <w:bookmarkStart w:id="14" w:name="OLE_LINK20"/>
            <w:r>
              <w:rPr>
                <w:rFonts w:hint="eastAsia" w:ascii="Noto Sans Mono CJK JP Regular" w:hAnsi="Noto Sans Mono CJK JP Regular" w:eastAsia="华文细黑" w:cs="Noto Sans Mono CJK JP Regular"/>
                <w:kern w:val="0"/>
                <w:szCs w:val="21"/>
                <w:lang w:val="zh-CN"/>
              </w:rPr>
              <w:t>5%</w:t>
            </w:r>
            <w:bookmarkEnd w:id="14"/>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jc w:val="center"/>
        </w:trPr>
        <w:tc>
          <w:tcPr>
            <w:tcW w:w="2263" w:type="dxa"/>
            <w:vMerge w:val="restart"/>
            <w:vAlign w:val="center"/>
          </w:tcPr>
          <w:p>
            <w:pPr>
              <w:pStyle w:val="4"/>
              <w:rPr>
                <w:rFonts w:hint="eastAsia" w:ascii="Noto Sans Mono CJK JP Regular" w:hAnsi="Noto Sans Mono CJK JP Regular" w:eastAsia="华文细黑" w:cs="Noto Sans Mono CJK JP Regular"/>
                <w:kern w:val="0"/>
                <w:szCs w:val="21"/>
                <w:lang w:val="zh-CN"/>
              </w:rPr>
            </w:pPr>
            <w:bookmarkStart w:id="15" w:name="OLE_LINK13"/>
            <w:r>
              <w:rPr>
                <w:rFonts w:hint="eastAsia" w:ascii="Noto Sans Mono CJK JP Regular" w:hAnsi="Noto Sans Mono CJK JP Regular" w:eastAsia="华文细黑" w:cs="Noto Sans Mono CJK JP Regular"/>
                <w:kern w:val="0"/>
                <w:szCs w:val="21"/>
                <w:lang w:val="zh-CN"/>
              </w:rPr>
              <w:t>模块二</w:t>
            </w:r>
          </w:p>
          <w:bookmarkEnd w:id="15"/>
          <w:p>
            <w:pPr>
              <w:pStyle w:val="4"/>
              <w:rPr>
                <w:rFonts w:hint="eastAsia" w:ascii="Noto Sans Mono CJK JP Regular" w:hAnsi="Noto Sans Mono CJK JP Regular" w:eastAsia="华文细黑" w:cs="Noto Sans Mono CJK JP Regular"/>
                <w:kern w:val="0"/>
                <w:szCs w:val="21"/>
                <w:lang w:val="zh-CN"/>
              </w:rPr>
            </w:pPr>
            <w:r>
              <w:rPr>
                <w:rFonts w:hint="eastAsia" w:ascii="Noto Sans Mono CJK JP Regular" w:hAnsi="Noto Sans Mono CJK JP Regular" w:eastAsia="华文细黑" w:cs="Noto Sans Mono CJK JP Regular"/>
                <w:kern w:val="0"/>
                <w:szCs w:val="21"/>
                <w:lang w:val="zh-CN"/>
              </w:rPr>
              <w:t>数字化解决方案设计与呈现</w:t>
            </w:r>
          </w:p>
        </w:tc>
        <w:tc>
          <w:tcPr>
            <w:tcW w:w="1276" w:type="dxa"/>
            <w:vMerge w:val="restart"/>
            <w:vAlign w:val="center"/>
          </w:tcPr>
          <w:p>
            <w:pPr>
              <w:pStyle w:val="4"/>
              <w:rPr>
                <w:rFonts w:hint="eastAsia" w:ascii="Noto Sans Mono CJK JP Regular" w:hAnsi="Noto Sans Mono CJK JP Regular" w:eastAsia="华文细黑" w:cs="Noto Sans Mono CJK JP Regular"/>
                <w:kern w:val="0"/>
                <w:szCs w:val="21"/>
                <w:lang w:val="zh-CN"/>
              </w:rPr>
            </w:pPr>
            <w:bookmarkStart w:id="16" w:name="OLE_LINK12"/>
            <w:r>
              <w:rPr>
                <w:rFonts w:hint="eastAsia" w:ascii="Noto Sans Mono CJK JP Regular" w:hAnsi="Noto Sans Mono CJK JP Regular" w:eastAsia="华文细黑" w:cs="Noto Sans Mono CJK JP Regular"/>
                <w:kern w:val="0"/>
                <w:szCs w:val="21"/>
                <w:lang w:val="zh-CN"/>
              </w:rPr>
              <w:t>65%</w:t>
            </w:r>
            <w:bookmarkEnd w:id="16"/>
          </w:p>
        </w:tc>
        <w:tc>
          <w:tcPr>
            <w:tcW w:w="3933" w:type="dxa"/>
            <w:vAlign w:val="center"/>
          </w:tcPr>
          <w:p>
            <w:pPr>
              <w:pStyle w:val="4"/>
              <w:rPr>
                <w:rFonts w:hint="eastAsia" w:ascii="Noto Sans Mono CJK JP Regular" w:hAnsi="Noto Sans Mono CJK JP Regular" w:eastAsia="华文细黑" w:cs="Noto Sans Mono CJK JP Regular"/>
                <w:kern w:val="0"/>
                <w:szCs w:val="21"/>
                <w:lang w:val="zh-CN"/>
              </w:rPr>
            </w:pPr>
            <w:r>
              <w:rPr>
                <w:rFonts w:hint="eastAsia" w:ascii="Noto Sans Mono CJK JP Regular" w:hAnsi="Noto Sans Mono CJK JP Regular" w:eastAsia="华文细黑" w:cs="Noto Sans Mono CJK JP Regular"/>
                <w:kern w:val="0"/>
                <w:szCs w:val="21"/>
                <w:lang w:val="zh-CN"/>
              </w:rPr>
              <w:t>数字化方案需求分析与选型</w:t>
            </w:r>
          </w:p>
        </w:tc>
        <w:tc>
          <w:tcPr>
            <w:tcW w:w="1033" w:type="dxa"/>
            <w:vAlign w:val="center"/>
          </w:tcPr>
          <w:p>
            <w:pPr>
              <w:pStyle w:val="4"/>
              <w:rPr>
                <w:rFonts w:hint="eastAsia" w:ascii="Noto Sans Mono CJK JP Regular" w:hAnsi="Noto Sans Mono CJK JP Regular" w:eastAsia="华文细黑" w:cs="Noto Sans Mono CJK JP Regular"/>
                <w:kern w:val="0"/>
                <w:szCs w:val="21"/>
                <w:lang w:val="zh-CN"/>
              </w:rPr>
            </w:pPr>
            <w:r>
              <w:rPr>
                <w:rFonts w:hint="eastAsia" w:ascii="Noto Sans Mono CJK JP Regular" w:hAnsi="Noto Sans Mono CJK JP Regular" w:eastAsia="华文细黑" w:cs="Noto Sans Mono CJK JP Regular"/>
                <w:kern w:val="0"/>
                <w:szCs w:val="21"/>
                <w:lang w:val="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jc w:val="center"/>
        </w:trPr>
        <w:tc>
          <w:tcPr>
            <w:tcW w:w="2263" w:type="dxa"/>
            <w:vMerge w:val="continue"/>
            <w:vAlign w:val="center"/>
          </w:tcPr>
          <w:p>
            <w:pPr>
              <w:pStyle w:val="4"/>
              <w:rPr>
                <w:rFonts w:hint="eastAsia" w:ascii="Noto Sans Mono CJK JP Regular" w:hAnsi="Noto Sans Mono CJK JP Regular" w:eastAsia="华文细黑" w:cs="Noto Sans Mono CJK JP Regular"/>
                <w:kern w:val="0"/>
                <w:szCs w:val="21"/>
                <w:lang w:val="zh-CN"/>
              </w:rPr>
            </w:pPr>
          </w:p>
        </w:tc>
        <w:tc>
          <w:tcPr>
            <w:tcW w:w="1276" w:type="dxa"/>
            <w:vMerge w:val="continue"/>
            <w:vAlign w:val="center"/>
          </w:tcPr>
          <w:p>
            <w:pPr>
              <w:pStyle w:val="4"/>
              <w:rPr>
                <w:rFonts w:hint="eastAsia" w:ascii="Noto Sans Mono CJK JP Regular" w:hAnsi="Noto Sans Mono CJK JP Regular" w:eastAsia="华文细黑" w:cs="Noto Sans Mono CJK JP Regular"/>
                <w:kern w:val="0"/>
                <w:szCs w:val="21"/>
                <w:lang w:val="zh-CN"/>
              </w:rPr>
            </w:pPr>
          </w:p>
        </w:tc>
        <w:tc>
          <w:tcPr>
            <w:tcW w:w="3933" w:type="dxa"/>
            <w:vAlign w:val="center"/>
          </w:tcPr>
          <w:p>
            <w:pPr>
              <w:pStyle w:val="4"/>
              <w:rPr>
                <w:rFonts w:hint="eastAsia" w:ascii="Noto Sans Mono CJK JP Regular" w:hAnsi="Noto Sans Mono CJK JP Regular" w:eastAsia="华文细黑" w:cs="Noto Sans Mono CJK JP Regular"/>
                <w:kern w:val="0"/>
                <w:szCs w:val="21"/>
                <w:lang w:val="zh-CN"/>
              </w:rPr>
            </w:pPr>
            <w:r>
              <w:rPr>
                <w:rFonts w:hint="eastAsia" w:ascii="Noto Sans Mono CJK JP Regular" w:hAnsi="Noto Sans Mono CJK JP Regular" w:eastAsia="华文细黑" w:cs="Noto Sans Mono CJK JP Regular"/>
                <w:kern w:val="0"/>
                <w:szCs w:val="21"/>
                <w:lang w:val="zh-CN"/>
              </w:rPr>
              <w:t>数字化方案设计</w:t>
            </w:r>
          </w:p>
        </w:tc>
        <w:tc>
          <w:tcPr>
            <w:tcW w:w="1033" w:type="dxa"/>
            <w:vAlign w:val="center"/>
          </w:tcPr>
          <w:p>
            <w:pPr>
              <w:pStyle w:val="4"/>
              <w:rPr>
                <w:rFonts w:hint="eastAsia" w:ascii="Noto Sans Mono CJK JP Regular" w:hAnsi="Noto Sans Mono CJK JP Regular" w:eastAsia="华文细黑" w:cs="Noto Sans Mono CJK JP Regular"/>
                <w:kern w:val="0"/>
                <w:szCs w:val="21"/>
                <w:lang w:val="zh-CN"/>
              </w:rPr>
            </w:pPr>
            <w:bookmarkStart w:id="17" w:name="OLE_LINK18"/>
            <w:r>
              <w:rPr>
                <w:rFonts w:hint="eastAsia" w:ascii="Noto Sans Mono CJK JP Regular" w:hAnsi="Noto Sans Mono CJK JP Regular" w:eastAsia="华文细黑" w:cs="Noto Sans Mono CJK JP Regular"/>
                <w:kern w:val="0"/>
                <w:szCs w:val="21"/>
                <w:lang w:val="zh-CN"/>
              </w:rPr>
              <w:t>10%</w:t>
            </w:r>
            <w:bookmarkEnd w:id="17"/>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jc w:val="center"/>
        </w:trPr>
        <w:tc>
          <w:tcPr>
            <w:tcW w:w="2263" w:type="dxa"/>
            <w:vMerge w:val="continue"/>
            <w:vAlign w:val="center"/>
          </w:tcPr>
          <w:p>
            <w:pPr>
              <w:pStyle w:val="4"/>
              <w:rPr>
                <w:rFonts w:hint="eastAsia" w:ascii="Noto Sans Mono CJK JP Regular" w:hAnsi="Noto Sans Mono CJK JP Regular" w:eastAsia="华文细黑" w:cs="Noto Sans Mono CJK JP Regular"/>
                <w:kern w:val="0"/>
                <w:szCs w:val="21"/>
                <w:lang w:val="zh-CN"/>
              </w:rPr>
            </w:pPr>
          </w:p>
        </w:tc>
        <w:tc>
          <w:tcPr>
            <w:tcW w:w="1276" w:type="dxa"/>
            <w:vMerge w:val="continue"/>
            <w:vAlign w:val="center"/>
          </w:tcPr>
          <w:p>
            <w:pPr>
              <w:pStyle w:val="4"/>
              <w:rPr>
                <w:rFonts w:hint="eastAsia" w:ascii="Noto Sans Mono CJK JP Regular" w:hAnsi="Noto Sans Mono CJK JP Regular" w:eastAsia="华文细黑" w:cs="Noto Sans Mono CJK JP Regular"/>
                <w:kern w:val="0"/>
                <w:szCs w:val="21"/>
                <w:lang w:val="zh-CN"/>
              </w:rPr>
            </w:pPr>
          </w:p>
        </w:tc>
        <w:tc>
          <w:tcPr>
            <w:tcW w:w="3933" w:type="dxa"/>
            <w:vAlign w:val="center"/>
          </w:tcPr>
          <w:p>
            <w:pPr>
              <w:pStyle w:val="4"/>
              <w:rPr>
                <w:rFonts w:hint="eastAsia" w:ascii="Noto Sans Mono CJK JP Regular" w:hAnsi="Noto Sans Mono CJK JP Regular" w:eastAsia="华文细黑" w:cs="Noto Sans Mono CJK JP Regular"/>
                <w:kern w:val="0"/>
                <w:szCs w:val="21"/>
                <w:lang w:val="zh-CN"/>
              </w:rPr>
            </w:pPr>
            <w:r>
              <w:rPr>
                <w:rFonts w:hint="eastAsia" w:ascii="Noto Sans Mono CJK JP Regular" w:hAnsi="Noto Sans Mono CJK JP Regular" w:eastAsia="华文细黑" w:cs="Noto Sans Mono CJK JP Regular"/>
                <w:kern w:val="0"/>
                <w:szCs w:val="21"/>
                <w:lang w:val="zh-CN"/>
              </w:rPr>
              <w:t>硬件设备搭建与职业素养</w:t>
            </w:r>
          </w:p>
        </w:tc>
        <w:tc>
          <w:tcPr>
            <w:tcW w:w="1033" w:type="dxa"/>
            <w:vAlign w:val="center"/>
          </w:tcPr>
          <w:p>
            <w:pPr>
              <w:pStyle w:val="4"/>
              <w:rPr>
                <w:rFonts w:hint="eastAsia" w:ascii="Noto Sans Mono CJK JP Regular" w:hAnsi="Noto Sans Mono CJK JP Regular" w:eastAsia="华文细黑" w:cs="Noto Sans Mono CJK JP Regular"/>
                <w:kern w:val="0"/>
                <w:szCs w:val="21"/>
                <w:lang w:val="zh-CN"/>
              </w:rPr>
            </w:pPr>
            <w:r>
              <w:rPr>
                <w:rFonts w:hint="eastAsia" w:ascii="Noto Sans Mono CJK JP Regular" w:hAnsi="Noto Sans Mono CJK JP Regular" w:eastAsia="华文细黑" w:cs="Noto Sans Mono CJK JP Regular"/>
                <w:kern w:val="0"/>
                <w:szCs w:val="21"/>
                <w:lang w:val="zh-CN"/>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jc w:val="center"/>
        </w:trPr>
        <w:tc>
          <w:tcPr>
            <w:tcW w:w="2263" w:type="dxa"/>
            <w:vMerge w:val="continue"/>
            <w:vAlign w:val="center"/>
          </w:tcPr>
          <w:p>
            <w:pPr>
              <w:pStyle w:val="4"/>
              <w:rPr>
                <w:rFonts w:hint="eastAsia" w:ascii="Noto Sans Mono CJK JP Regular" w:hAnsi="Noto Sans Mono CJK JP Regular" w:eastAsia="华文细黑" w:cs="Noto Sans Mono CJK JP Regular"/>
                <w:kern w:val="0"/>
                <w:szCs w:val="21"/>
                <w:lang w:val="zh-CN"/>
              </w:rPr>
            </w:pPr>
          </w:p>
        </w:tc>
        <w:tc>
          <w:tcPr>
            <w:tcW w:w="1276" w:type="dxa"/>
            <w:vMerge w:val="continue"/>
            <w:vAlign w:val="center"/>
          </w:tcPr>
          <w:p>
            <w:pPr>
              <w:pStyle w:val="4"/>
              <w:rPr>
                <w:rFonts w:hint="eastAsia" w:ascii="Noto Sans Mono CJK JP Regular" w:hAnsi="Noto Sans Mono CJK JP Regular" w:eastAsia="华文细黑" w:cs="Noto Sans Mono CJK JP Regular"/>
                <w:kern w:val="0"/>
                <w:szCs w:val="21"/>
                <w:lang w:val="zh-CN"/>
              </w:rPr>
            </w:pPr>
          </w:p>
        </w:tc>
        <w:tc>
          <w:tcPr>
            <w:tcW w:w="3933" w:type="dxa"/>
            <w:vAlign w:val="center"/>
          </w:tcPr>
          <w:p>
            <w:pPr>
              <w:pStyle w:val="4"/>
              <w:rPr>
                <w:rFonts w:hint="eastAsia" w:ascii="Noto Sans Mono CJK JP Regular" w:hAnsi="Noto Sans Mono CJK JP Regular" w:eastAsia="华文细黑" w:cs="Noto Sans Mono CJK JP Regular"/>
                <w:kern w:val="0"/>
                <w:szCs w:val="21"/>
                <w:lang w:val="zh-CN"/>
              </w:rPr>
            </w:pPr>
            <w:r>
              <w:rPr>
                <w:rFonts w:hint="eastAsia" w:ascii="Noto Sans Mono CJK JP Regular" w:hAnsi="Noto Sans Mono CJK JP Regular" w:eastAsia="华文细黑" w:cs="Noto Sans Mono CJK JP Regular"/>
                <w:kern w:val="0"/>
                <w:szCs w:val="21"/>
                <w:lang w:val="zh-CN"/>
              </w:rPr>
              <w:t>参数设置</w:t>
            </w:r>
          </w:p>
        </w:tc>
        <w:tc>
          <w:tcPr>
            <w:tcW w:w="1033" w:type="dxa"/>
            <w:vAlign w:val="center"/>
          </w:tcPr>
          <w:p>
            <w:pPr>
              <w:pStyle w:val="4"/>
              <w:rPr>
                <w:rFonts w:hint="eastAsia" w:ascii="Noto Sans Mono CJK JP Regular" w:hAnsi="Noto Sans Mono CJK JP Regular" w:eastAsia="华文细黑" w:cs="Noto Sans Mono CJK JP Regular"/>
                <w:kern w:val="0"/>
                <w:szCs w:val="21"/>
                <w:lang w:val="zh-CN"/>
              </w:rPr>
            </w:pPr>
            <w:r>
              <w:rPr>
                <w:rFonts w:hint="eastAsia" w:ascii="Noto Sans Mono CJK JP Regular" w:hAnsi="Noto Sans Mono CJK JP Regular" w:eastAsia="华文细黑" w:cs="Noto Sans Mono CJK JP Regular"/>
                <w:kern w:val="0"/>
                <w:szCs w:val="21"/>
                <w:lang w:val="zh-CN"/>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jc w:val="center"/>
        </w:trPr>
        <w:tc>
          <w:tcPr>
            <w:tcW w:w="2263" w:type="dxa"/>
            <w:vMerge w:val="continue"/>
            <w:vAlign w:val="center"/>
          </w:tcPr>
          <w:p>
            <w:pPr>
              <w:pStyle w:val="4"/>
              <w:rPr>
                <w:rFonts w:hint="eastAsia" w:ascii="Noto Sans Mono CJK JP Regular" w:hAnsi="Noto Sans Mono CJK JP Regular" w:eastAsia="华文细黑" w:cs="Noto Sans Mono CJK JP Regular"/>
                <w:kern w:val="0"/>
                <w:szCs w:val="21"/>
                <w:lang w:val="zh-CN"/>
              </w:rPr>
            </w:pPr>
          </w:p>
        </w:tc>
        <w:tc>
          <w:tcPr>
            <w:tcW w:w="1276" w:type="dxa"/>
            <w:vMerge w:val="continue"/>
            <w:vAlign w:val="center"/>
          </w:tcPr>
          <w:p>
            <w:pPr>
              <w:pStyle w:val="4"/>
              <w:rPr>
                <w:rFonts w:hint="eastAsia" w:ascii="Noto Sans Mono CJK JP Regular" w:hAnsi="Noto Sans Mono CJK JP Regular" w:eastAsia="华文细黑" w:cs="Noto Sans Mono CJK JP Regular"/>
                <w:kern w:val="0"/>
                <w:szCs w:val="21"/>
                <w:lang w:val="zh-CN"/>
              </w:rPr>
            </w:pPr>
          </w:p>
        </w:tc>
        <w:tc>
          <w:tcPr>
            <w:tcW w:w="3933" w:type="dxa"/>
            <w:vAlign w:val="center"/>
          </w:tcPr>
          <w:p>
            <w:pPr>
              <w:pStyle w:val="4"/>
              <w:rPr>
                <w:rFonts w:hint="eastAsia" w:ascii="Noto Sans Mono CJK JP Regular" w:hAnsi="Noto Sans Mono CJK JP Regular" w:eastAsia="华文细黑" w:cs="Noto Sans Mono CJK JP Regular"/>
                <w:kern w:val="0"/>
                <w:szCs w:val="21"/>
                <w:lang w:val="zh-CN"/>
              </w:rPr>
            </w:pPr>
            <w:r>
              <w:rPr>
                <w:rFonts w:hint="eastAsia" w:ascii="Noto Sans Mono CJK JP Regular" w:hAnsi="Noto Sans Mono CJK JP Regular" w:eastAsia="华文细黑" w:cs="Noto Sans Mono CJK JP Regular"/>
                <w:kern w:val="0"/>
                <w:szCs w:val="21"/>
              </w:rPr>
              <w:t>数字化解决方案开发与实施</w:t>
            </w:r>
          </w:p>
        </w:tc>
        <w:tc>
          <w:tcPr>
            <w:tcW w:w="1033" w:type="dxa"/>
            <w:vAlign w:val="center"/>
          </w:tcPr>
          <w:p>
            <w:pPr>
              <w:pStyle w:val="4"/>
              <w:rPr>
                <w:rFonts w:hint="eastAsia" w:ascii="Noto Sans Mono CJK JP Regular" w:hAnsi="Noto Sans Mono CJK JP Regular" w:eastAsia="华文细黑" w:cs="Noto Sans Mono CJK JP Regular"/>
                <w:kern w:val="0"/>
                <w:szCs w:val="21"/>
                <w:lang w:val="zh-CN"/>
              </w:rPr>
            </w:pPr>
            <w:r>
              <w:rPr>
                <w:rFonts w:hint="eastAsia" w:ascii="Noto Sans Mono CJK JP Regular" w:hAnsi="Noto Sans Mono CJK JP Regular" w:eastAsia="华文细黑" w:cs="Noto Sans Mono CJK JP Regular"/>
                <w:kern w:val="0"/>
                <w:szCs w:val="21"/>
                <w:lang w:val="zh-CN"/>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2" w:hRule="atLeast"/>
          <w:jc w:val="center"/>
        </w:trPr>
        <w:tc>
          <w:tcPr>
            <w:tcW w:w="2263" w:type="dxa"/>
            <w:vAlign w:val="center"/>
          </w:tcPr>
          <w:p>
            <w:pPr>
              <w:pStyle w:val="4"/>
              <w:rPr>
                <w:rFonts w:hint="eastAsia" w:ascii="Noto Sans Mono CJK JP Regular" w:hAnsi="Noto Sans Mono CJK JP Regular" w:eastAsia="华文细黑" w:cs="Noto Sans Mono CJK JP Regular"/>
                <w:kern w:val="0"/>
                <w:szCs w:val="21"/>
                <w:lang w:val="zh-CN"/>
              </w:rPr>
            </w:pPr>
            <w:r>
              <w:rPr>
                <w:rFonts w:hint="eastAsia" w:ascii="Noto Sans Mono CJK JP Regular" w:hAnsi="Noto Sans Mono CJK JP Regular" w:eastAsia="华文细黑" w:cs="Noto Sans Mono CJK JP Regular"/>
                <w:kern w:val="0"/>
                <w:szCs w:val="21"/>
                <w:lang w:val="zh-CN"/>
              </w:rPr>
              <w:t>总分</w:t>
            </w:r>
          </w:p>
        </w:tc>
        <w:tc>
          <w:tcPr>
            <w:tcW w:w="6242" w:type="dxa"/>
            <w:gridSpan w:val="3"/>
            <w:vAlign w:val="center"/>
          </w:tcPr>
          <w:p>
            <w:pPr>
              <w:pStyle w:val="4"/>
              <w:rPr>
                <w:rFonts w:hint="eastAsia" w:ascii="Noto Sans Mono CJK JP Regular" w:hAnsi="Noto Sans Mono CJK JP Regular" w:eastAsia="华文细黑" w:cs="Noto Sans Mono CJK JP Regular"/>
                <w:kern w:val="0"/>
                <w:szCs w:val="21"/>
                <w:lang w:val="zh-CN"/>
              </w:rPr>
            </w:pPr>
            <w:r>
              <w:rPr>
                <w:rFonts w:hint="eastAsia" w:ascii="Noto Sans Mono CJK JP Regular" w:hAnsi="Noto Sans Mono CJK JP Regular" w:eastAsia="华文细黑" w:cs="Noto Sans Mono CJK JP Regular"/>
                <w:kern w:val="0"/>
                <w:szCs w:val="21"/>
                <w:lang w:val="zh-CN"/>
              </w:rPr>
              <w:t>100%</w:t>
            </w:r>
          </w:p>
        </w:tc>
      </w:tr>
    </w:tbl>
    <w:p>
      <w:pPr>
        <w:spacing w:before="62" w:beforeLines="20" w:after="156" w:afterLines="50" w:line="360" w:lineRule="auto"/>
        <w:ind w:firstLine="420" w:firstLineChars="200"/>
        <w:rPr>
          <w:rFonts w:hint="eastAsia" w:ascii="仿宋" w:hAnsi="仿宋" w:eastAsia="仿宋"/>
          <w:szCs w:val="21"/>
          <w:lang w:val="zh-CN"/>
        </w:rPr>
      </w:pPr>
      <w:r>
        <w:rPr>
          <w:rFonts w:hint="eastAsia" w:ascii="Noto Sans Mono CJK JP Regular" w:hAnsi="Noto Sans Mono CJK JP Regular" w:eastAsia="华文细黑" w:cs="Noto Sans Mono CJK JP Regular"/>
          <w:kern w:val="0"/>
          <w:szCs w:val="21"/>
          <w:lang w:val="zh-CN"/>
        </w:rPr>
        <w:t>注： 实际竞赛过程中各指标所占比例可能有所微调。</w:t>
      </w:r>
    </w:p>
    <w:p>
      <w:pPr>
        <w:tabs>
          <w:tab w:val="left" w:pos="3240"/>
        </w:tabs>
        <w:spacing w:line="360" w:lineRule="auto"/>
        <w:ind w:firstLine="480" w:firstLineChars="200"/>
        <w:rPr>
          <w:rFonts w:hint="eastAsia" w:ascii="仿宋" w:hAnsi="仿宋" w:eastAsia="仿宋"/>
          <w:b/>
          <w:bCs/>
          <w:sz w:val="24"/>
        </w:rPr>
      </w:pPr>
      <w:r>
        <w:rPr>
          <w:rFonts w:hint="eastAsia" w:ascii="Calibri" w:hAnsi="Calibri" w:eastAsia="华文细黑"/>
          <w:b/>
          <w:bCs/>
          <w:sz w:val="24"/>
        </w:rPr>
        <w:t>（三）评判方法</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rPr>
        <w:t>1. 评判原则</w:t>
      </w:r>
    </w:p>
    <w:p>
      <w:pPr>
        <w:spacing w:line="360" w:lineRule="auto"/>
        <w:ind w:firstLine="480" w:firstLineChars="200"/>
        <w:rPr>
          <w:rFonts w:hint="eastAsia" w:ascii="Noto Sans Mono CJK JP Regular" w:hAnsi="Noto Sans Mono CJK JP Regular" w:eastAsia="华文细黑" w:cs="Noto Sans Mono CJK JP Regular"/>
          <w:kern w:val="0"/>
          <w:sz w:val="24"/>
          <w:szCs w:val="22"/>
          <w:lang w:val="zh-CN"/>
        </w:rPr>
      </w:pPr>
      <w:r>
        <w:rPr>
          <w:rFonts w:hint="eastAsia" w:ascii="Noto Sans Mono CJK JP Regular" w:hAnsi="Noto Sans Mono CJK JP Regular" w:eastAsia="华文细黑" w:cs="Noto Sans Mono CJK JP Regular"/>
          <w:kern w:val="0"/>
          <w:sz w:val="24"/>
          <w:szCs w:val="22"/>
          <w:lang w:val="zh-CN"/>
        </w:rPr>
        <w:t>评判采取客观评判为主的方式，针对操作过程中在各个关键点所应呈现的技术指标、系统状态或实现的功能是否符合工作任务书的设计要求，列出各评判项、评判标准和测试方法以及技术指标进行评判。评分表根据比赛试题制定。</w:t>
      </w:r>
    </w:p>
    <w:p>
      <w:pPr>
        <w:spacing w:line="360" w:lineRule="auto"/>
        <w:ind w:firstLine="480" w:firstLineChars="200"/>
        <w:rPr>
          <w:rFonts w:hint="eastAsia" w:ascii="Noto Sans Mono CJK JP Regular" w:hAnsi="Noto Sans Mono CJK JP Regular" w:eastAsia="华文细黑" w:cs="Noto Sans Mono CJK JP Regular"/>
          <w:kern w:val="0"/>
          <w:sz w:val="24"/>
          <w:szCs w:val="22"/>
          <w:lang w:val="zh-CN"/>
        </w:rPr>
      </w:pPr>
      <w:r>
        <w:rPr>
          <w:rFonts w:hint="eastAsia" w:ascii="Noto Sans Mono CJK JP Regular" w:hAnsi="Noto Sans Mono CJK JP Regular" w:eastAsia="华文细黑" w:cs="Noto Sans Mono CJK JP Regular"/>
          <w:kern w:val="0"/>
          <w:sz w:val="24"/>
          <w:szCs w:val="22"/>
          <w:lang w:val="zh-CN"/>
        </w:rPr>
        <w:t>2. 比赛流程</w:t>
      </w:r>
    </w:p>
    <w:p>
      <w:pPr>
        <w:spacing w:line="360" w:lineRule="auto"/>
        <w:ind w:firstLine="480" w:firstLineChars="200"/>
        <w:rPr>
          <w:rFonts w:hint="eastAsia" w:ascii="Noto Sans Mono CJK JP Regular" w:hAnsi="Noto Sans Mono CJK JP Regular" w:eastAsia="华文细黑" w:cs="Noto Sans Mono CJK JP Regular"/>
          <w:kern w:val="0"/>
          <w:sz w:val="24"/>
          <w:szCs w:val="22"/>
          <w:lang w:val="zh-CN"/>
        </w:rPr>
      </w:pPr>
      <w:r>
        <w:rPr>
          <w:rFonts w:hint="eastAsia" w:ascii="Noto Sans Mono CJK JP Regular" w:hAnsi="Noto Sans Mono CJK JP Regular" w:eastAsia="华文细黑" w:cs="Noto Sans Mono CJK JP Regular"/>
          <w:kern w:val="0"/>
          <w:sz w:val="24"/>
          <w:szCs w:val="22"/>
          <w:lang w:val="zh-CN"/>
        </w:rPr>
        <w:t>选手需要依据竞赛流转表完成全部两个模块的比赛。选手完成每一个模块的操作后，等待裁判员评分结束，代表本模块比赛完成。</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rPr>
        <w:t>3. 评分流程（评判示例，以任务书为准）</w:t>
      </w:r>
    </w:p>
    <w:p>
      <w:pPr>
        <w:snapToGrid w:val="0"/>
        <w:spacing w:before="62" w:beforeLines="20" w:line="360" w:lineRule="auto"/>
        <w:jc w:val="center"/>
        <w:rPr>
          <w:rFonts w:hint="eastAsia" w:ascii="仿宋" w:hAnsi="仿宋" w:eastAsia="仿宋"/>
          <w:sz w:val="24"/>
          <w:lang w:val="zh-CN"/>
        </w:rPr>
      </w:pPr>
      <w:bookmarkStart w:id="18" w:name="OLE_LINK2"/>
      <w:r>
        <w:drawing>
          <wp:inline distT="0" distB="0" distL="0" distR="0">
            <wp:extent cx="3403600" cy="3089910"/>
            <wp:effectExtent l="0" t="0" r="635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6"/>
                    <a:stretch>
                      <a:fillRect/>
                    </a:stretch>
                  </pic:blipFill>
                  <pic:spPr>
                    <a:xfrm>
                      <a:off x="0" y="0"/>
                      <a:ext cx="3404672" cy="3090911"/>
                    </a:xfrm>
                    <a:prstGeom prst="rect">
                      <a:avLst/>
                    </a:prstGeom>
                  </pic:spPr>
                </pic:pic>
              </a:graphicData>
            </a:graphic>
          </wp:inline>
        </w:drawing>
      </w:r>
    </w:p>
    <w:bookmarkEnd w:id="18"/>
    <w:p>
      <w:pPr>
        <w:spacing w:line="360" w:lineRule="auto"/>
        <w:ind w:firstLine="480" w:firstLineChars="200"/>
        <w:rPr>
          <w:rFonts w:hint="eastAsia" w:ascii="Noto Sans Mono CJK JP Regular" w:hAnsi="Noto Sans Mono CJK JP Regular" w:eastAsia="华文细黑" w:cs="Noto Sans Mono CJK JP Regular"/>
          <w:kern w:val="0"/>
          <w:sz w:val="24"/>
          <w:szCs w:val="22"/>
          <w:lang w:val="zh-CN"/>
        </w:rPr>
      </w:pPr>
      <w:r>
        <w:rPr>
          <w:rFonts w:hint="eastAsia" w:ascii="Noto Sans Mono CJK JP Regular" w:hAnsi="Noto Sans Mono CJK JP Regular" w:eastAsia="华文细黑" w:cs="Noto Sans Mono CJK JP Regular"/>
          <w:kern w:val="0"/>
          <w:sz w:val="24"/>
          <w:szCs w:val="22"/>
          <w:lang w:val="zh-CN"/>
        </w:rPr>
        <w:t>4. 测量及评价方法</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rPr>
        <w:t>对照评判标准，由若干裁判员根据选手完成工作情况，参照评分项，对选手</w:t>
      </w:r>
    </w:p>
    <w:p>
      <w:pPr>
        <w:spacing w:line="360" w:lineRule="auto"/>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rPr>
        <w:t>工作任务完成情况进行集体评测，给出每位被评选手的具体成绩。</w:t>
      </w:r>
    </w:p>
    <w:p>
      <w:pPr>
        <w:tabs>
          <w:tab w:val="left" w:pos="3240"/>
        </w:tabs>
        <w:spacing w:line="360" w:lineRule="auto"/>
        <w:ind w:firstLine="480" w:firstLineChars="200"/>
        <w:rPr>
          <w:rFonts w:ascii="Calibri" w:hAnsi="Calibri" w:eastAsia="华文细黑"/>
          <w:b/>
          <w:bCs/>
          <w:sz w:val="24"/>
        </w:rPr>
      </w:pPr>
      <w:bookmarkStart w:id="19" w:name="_Hlk229691934"/>
      <w:r>
        <w:rPr>
          <w:rFonts w:hint="eastAsia" w:ascii="Calibri" w:hAnsi="Calibri" w:eastAsia="华文细黑"/>
          <w:b/>
          <w:bCs/>
          <w:sz w:val="24"/>
        </w:rPr>
        <w:t>（四）竞赛规范以及异常处理方法</w:t>
      </w:r>
    </w:p>
    <w:bookmarkEnd w:id="19"/>
    <w:p>
      <w:pPr>
        <w:spacing w:line="360" w:lineRule="auto"/>
        <w:ind w:firstLine="480" w:firstLineChars="200"/>
        <w:rPr>
          <w:rFonts w:hint="eastAsia" w:ascii="Noto Sans Mono CJK JP Regular" w:hAnsi="Noto Sans Mono CJK JP Regular" w:eastAsia="华文细黑" w:cs="Noto Sans Mono CJK JP Regular"/>
          <w:kern w:val="0"/>
          <w:sz w:val="24"/>
          <w:szCs w:val="22"/>
          <w:lang w:val="zh-CN"/>
        </w:rPr>
      </w:pPr>
      <w:bookmarkStart w:id="20" w:name="OLE_LINK24"/>
      <w:r>
        <w:rPr>
          <w:rFonts w:ascii="Noto Sans Mono CJK JP Regular" w:hAnsi="Noto Sans Mono CJK JP Regular" w:eastAsia="华文细黑" w:cs="Noto Sans Mono CJK JP Regular"/>
          <w:kern w:val="0"/>
          <w:sz w:val="24"/>
          <w:szCs w:val="22"/>
          <w:lang w:val="zh-CN"/>
        </w:rPr>
        <w:t>1</w:t>
      </w:r>
      <w:r>
        <w:rPr>
          <w:rFonts w:hint="eastAsia" w:ascii="Noto Sans Mono CJK JP Regular" w:hAnsi="Noto Sans Mono CJK JP Regular" w:eastAsia="华文细黑" w:cs="Noto Sans Mono CJK JP Regular"/>
          <w:kern w:val="0"/>
          <w:sz w:val="24"/>
          <w:szCs w:val="22"/>
          <w:lang w:val="zh-CN"/>
        </w:rPr>
        <w:t>．</w:t>
      </w:r>
      <w:bookmarkEnd w:id="20"/>
      <w:r>
        <w:rPr>
          <w:rFonts w:hint="eastAsia" w:ascii="Noto Sans Mono CJK JP Regular" w:hAnsi="Noto Sans Mono CJK JP Regular" w:eastAsia="华文细黑" w:cs="Noto Sans Mono CJK JP Regular"/>
          <w:kern w:val="0"/>
          <w:sz w:val="24"/>
          <w:szCs w:val="22"/>
          <w:lang w:val="zh-CN"/>
        </w:rPr>
        <w:t>比赛结束铃声响起以后，选手应立即停止工作，经过提示或警告仍不改正者，将取消该选手的本模块竞赛成绩，禁止该选手继续比赛</w:t>
      </w:r>
      <w:bookmarkStart w:id="21" w:name="OLE_LINK25"/>
      <w:r>
        <w:rPr>
          <w:rFonts w:hint="eastAsia" w:ascii="Noto Sans Mono CJK JP Regular" w:hAnsi="Noto Sans Mono CJK JP Regular" w:eastAsia="华文细黑" w:cs="Noto Sans Mono CJK JP Regular"/>
          <w:kern w:val="0"/>
          <w:sz w:val="24"/>
          <w:szCs w:val="22"/>
          <w:lang w:val="zh-CN"/>
        </w:rPr>
        <w:t>。</w:t>
      </w:r>
      <w:bookmarkEnd w:id="21"/>
    </w:p>
    <w:p>
      <w:pPr>
        <w:spacing w:line="360" w:lineRule="auto"/>
        <w:ind w:firstLine="480" w:firstLineChars="200"/>
        <w:rPr>
          <w:rFonts w:hint="eastAsia" w:ascii="Noto Sans Mono CJK JP Regular" w:hAnsi="Noto Sans Mono CJK JP Regular" w:eastAsia="华文细黑" w:cs="Noto Sans Mono CJK JP Regular"/>
          <w:kern w:val="0"/>
          <w:sz w:val="24"/>
          <w:szCs w:val="22"/>
          <w:lang w:val="zh-CN"/>
        </w:rPr>
      </w:pPr>
      <w:r>
        <w:rPr>
          <w:rFonts w:ascii="Noto Sans Mono CJK JP Regular" w:hAnsi="Noto Sans Mono CJK JP Regular" w:eastAsia="华文细黑" w:cs="Noto Sans Mono CJK JP Regular"/>
          <w:kern w:val="0"/>
          <w:sz w:val="24"/>
          <w:szCs w:val="22"/>
          <w:lang w:val="zh-CN"/>
        </w:rPr>
        <w:t>2</w:t>
      </w:r>
      <w:r>
        <w:rPr>
          <w:rFonts w:hint="eastAsia" w:ascii="Noto Sans Mono CJK JP Regular" w:hAnsi="Noto Sans Mono CJK JP Regular" w:eastAsia="华文细黑" w:cs="Noto Sans Mono CJK JP Regular"/>
          <w:kern w:val="0"/>
          <w:sz w:val="24"/>
          <w:szCs w:val="22"/>
          <w:lang w:val="zh-CN"/>
        </w:rPr>
        <w:t>．选手禁止携带</w:t>
      </w:r>
      <w:r>
        <w:rPr>
          <w:rFonts w:ascii="Noto Sans Mono CJK JP Regular" w:hAnsi="Noto Sans Mono CJK JP Regular" w:eastAsia="华文细黑" w:cs="Noto Sans Mono CJK JP Regular"/>
          <w:kern w:val="0"/>
          <w:sz w:val="24"/>
          <w:szCs w:val="22"/>
          <w:lang w:val="zh-CN"/>
        </w:rPr>
        <w:t>U</w:t>
      </w:r>
      <w:r>
        <w:rPr>
          <w:rFonts w:hint="eastAsia" w:ascii="Noto Sans Mono CJK JP Regular" w:hAnsi="Noto Sans Mono CJK JP Regular" w:eastAsia="华文细黑" w:cs="Noto Sans Mono CJK JP Regular"/>
          <w:kern w:val="0"/>
          <w:sz w:val="24"/>
          <w:szCs w:val="22"/>
          <w:lang w:val="zh-CN"/>
        </w:rPr>
        <w:t>盘等存储工具，以及穿戴智能穿戴设备等。</w:t>
      </w:r>
    </w:p>
    <w:p>
      <w:pPr>
        <w:spacing w:line="360" w:lineRule="auto"/>
        <w:ind w:firstLine="480" w:firstLineChars="200"/>
        <w:rPr>
          <w:rFonts w:hint="eastAsia" w:ascii="Noto Sans Mono CJK JP Regular" w:hAnsi="Noto Sans Mono CJK JP Regular" w:eastAsia="华文细黑" w:cs="Noto Sans Mono CJK JP Regular"/>
          <w:kern w:val="0"/>
          <w:sz w:val="24"/>
          <w:szCs w:val="22"/>
          <w:lang w:val="zh-CN"/>
        </w:rPr>
      </w:pPr>
      <w:r>
        <w:rPr>
          <w:rFonts w:ascii="Noto Sans Mono CJK JP Regular" w:hAnsi="Noto Sans Mono CJK JP Regular" w:eastAsia="华文细黑" w:cs="Noto Sans Mono CJK JP Regular"/>
          <w:kern w:val="0"/>
          <w:sz w:val="24"/>
          <w:szCs w:val="22"/>
          <w:lang w:val="zh-CN"/>
        </w:rPr>
        <w:t>3</w:t>
      </w:r>
      <w:r>
        <w:rPr>
          <w:rFonts w:hint="eastAsia" w:ascii="Noto Sans Mono CJK JP Regular" w:hAnsi="Noto Sans Mono CJK JP Regular" w:eastAsia="华文细黑" w:cs="Noto Sans Mono CJK JP Regular"/>
          <w:kern w:val="0"/>
          <w:sz w:val="24"/>
          <w:szCs w:val="22"/>
          <w:lang w:val="zh-CN"/>
        </w:rPr>
        <w:t>．当天比赛任务及评分完成，裁判长宣布当天比赛结束后选手可以离开赛场。</w:t>
      </w:r>
    </w:p>
    <w:p>
      <w:pPr>
        <w:spacing w:line="360" w:lineRule="auto"/>
        <w:ind w:firstLine="480" w:firstLineChars="200"/>
        <w:rPr>
          <w:rFonts w:hint="eastAsia" w:ascii="Noto Sans Mono CJK JP Regular" w:hAnsi="Noto Sans Mono CJK JP Regular" w:eastAsia="华文细黑" w:cs="Noto Sans Mono CJK JP Regular"/>
          <w:kern w:val="0"/>
          <w:sz w:val="24"/>
          <w:szCs w:val="22"/>
          <w:lang w:val="zh-CN"/>
        </w:rPr>
      </w:pPr>
      <w:r>
        <w:rPr>
          <w:rFonts w:ascii="Noto Sans Mono CJK JP Regular" w:hAnsi="Noto Sans Mono CJK JP Regular" w:eastAsia="华文细黑" w:cs="Noto Sans Mono CJK JP Regular"/>
          <w:kern w:val="0"/>
          <w:sz w:val="24"/>
          <w:szCs w:val="22"/>
          <w:lang w:val="zh-CN"/>
        </w:rPr>
        <w:t>4</w:t>
      </w:r>
      <w:r>
        <w:rPr>
          <w:rFonts w:hint="eastAsia" w:ascii="Noto Sans Mono CJK JP Regular" w:hAnsi="Noto Sans Mono CJK JP Regular" w:eastAsia="华文细黑" w:cs="Noto Sans Mono CJK JP Regular"/>
          <w:kern w:val="0"/>
          <w:sz w:val="24"/>
          <w:szCs w:val="22"/>
          <w:lang w:val="zh-CN"/>
        </w:rPr>
        <w:t>．在竞赛过程中如发现问题（设备故障等），选手应立即向计时裁判反映。得到同意后，选手退出到工作区外等候，等待故障处理完后方可继续比赛。如属于设备故障，补时时间为从选手示意到</w:t>
      </w:r>
      <w:r>
        <w:rPr>
          <w:rFonts w:ascii="Noto Sans Mono CJK JP Regular" w:hAnsi="Noto Sans Mono CJK JP Regular" w:eastAsia="华文细黑" w:cs="Noto Sans Mono CJK JP Regular"/>
          <w:kern w:val="0"/>
          <w:sz w:val="24"/>
          <w:szCs w:val="22"/>
          <w:lang w:val="zh-CN"/>
        </w:rPr>
        <w:t xml:space="preserve"> </w:t>
      </w:r>
      <w:r>
        <w:rPr>
          <w:rFonts w:hint="eastAsia" w:ascii="Noto Sans Mono CJK JP Regular" w:hAnsi="Noto Sans Mono CJK JP Regular" w:eastAsia="华文细黑" w:cs="Noto Sans Mono CJK JP Regular"/>
          <w:kern w:val="0"/>
          <w:sz w:val="24"/>
          <w:szCs w:val="22"/>
          <w:lang w:val="zh-CN"/>
        </w:rPr>
        <w:t>故障处理结束这段时间。若不属于设备问题，则不补时。</w:t>
      </w:r>
    </w:p>
    <w:p>
      <w:pPr>
        <w:spacing w:line="360" w:lineRule="auto"/>
        <w:ind w:firstLine="480" w:firstLineChars="200"/>
        <w:rPr>
          <w:rFonts w:hint="eastAsia" w:ascii="Noto Sans Mono CJK JP Regular" w:hAnsi="Noto Sans Mono CJK JP Regular" w:eastAsia="华文细黑" w:cs="Noto Sans Mono CJK JP Regular"/>
          <w:kern w:val="0"/>
          <w:sz w:val="24"/>
          <w:szCs w:val="22"/>
          <w:lang w:val="zh-CN"/>
        </w:rPr>
      </w:pPr>
      <w:r>
        <w:rPr>
          <w:rFonts w:ascii="Noto Sans Mono CJK JP Regular" w:hAnsi="Noto Sans Mono CJK JP Regular" w:eastAsia="华文细黑" w:cs="Noto Sans Mono CJK JP Regular"/>
          <w:kern w:val="0"/>
          <w:sz w:val="24"/>
          <w:szCs w:val="22"/>
          <w:lang w:val="zh-CN"/>
        </w:rPr>
        <w:t>5</w:t>
      </w:r>
      <w:r>
        <w:rPr>
          <w:rFonts w:hint="eastAsia" w:ascii="Noto Sans Mono CJK JP Regular" w:hAnsi="Noto Sans Mono CJK JP Regular" w:eastAsia="华文细黑" w:cs="Noto Sans Mono CJK JP Regular"/>
          <w:kern w:val="0"/>
          <w:sz w:val="24"/>
          <w:szCs w:val="22"/>
          <w:lang w:val="zh-CN"/>
        </w:rPr>
        <w:t>．</w:t>
      </w:r>
      <w:r>
        <w:rPr>
          <w:rFonts w:ascii="Noto Sans Mono CJK JP Regular" w:hAnsi="Noto Sans Mono CJK JP Regular" w:eastAsia="华文细黑" w:cs="Noto Sans Mono CJK JP Regular"/>
          <w:kern w:val="0"/>
          <w:sz w:val="24"/>
          <w:szCs w:val="22"/>
          <w:lang w:val="zh-CN"/>
        </w:rPr>
        <w:t xml:space="preserve"> </w:t>
      </w:r>
      <w:r>
        <w:rPr>
          <w:rFonts w:hint="eastAsia" w:ascii="Noto Sans Mono CJK JP Regular" w:hAnsi="Noto Sans Mono CJK JP Regular" w:eastAsia="华文细黑" w:cs="Noto Sans Mono CJK JP Regular"/>
          <w:kern w:val="0"/>
          <w:sz w:val="24"/>
          <w:szCs w:val="22"/>
          <w:lang w:val="zh-CN"/>
        </w:rPr>
        <w:t>由于计算机蓝屏、死机或整个工作区掉电造成的时间损失，将对选手进行补时，但是无论任何原因造成的选手程序或软件成果丢失和损坏，后果由选手自行承担。</w:t>
      </w:r>
    </w:p>
    <w:p>
      <w:pPr>
        <w:spacing w:before="156" w:beforeLines="50" w:after="156" w:afterLines="50" w:line="360" w:lineRule="auto"/>
        <w:ind w:firstLine="602" w:firstLineChars="200"/>
        <w:rPr>
          <w:rFonts w:hint="eastAsia" w:ascii="黑体" w:hAnsi="黑体" w:eastAsia="黑体" w:cs="黑体"/>
          <w:b/>
          <w:bCs/>
          <w:sz w:val="30"/>
          <w:szCs w:val="30"/>
        </w:rPr>
      </w:pPr>
      <w:r>
        <w:rPr>
          <w:rFonts w:hint="eastAsia" w:ascii="黑体" w:hAnsi="黑体" w:eastAsia="黑体" w:cs="黑体"/>
          <w:b/>
          <w:bCs/>
          <w:sz w:val="30"/>
          <w:szCs w:val="30"/>
        </w:rPr>
        <w:t>六、实际操作竞赛场地与设施</w:t>
      </w:r>
    </w:p>
    <w:p>
      <w:pPr>
        <w:tabs>
          <w:tab w:val="left" w:pos="3240"/>
        </w:tabs>
        <w:spacing w:line="360" w:lineRule="auto"/>
        <w:ind w:firstLine="480" w:firstLineChars="200"/>
        <w:rPr>
          <w:rFonts w:ascii="Calibri" w:hAnsi="Calibri" w:eastAsia="华文细黑"/>
          <w:b/>
          <w:bCs/>
          <w:sz w:val="24"/>
        </w:rPr>
      </w:pPr>
      <w:r>
        <w:rPr>
          <w:rFonts w:hint="eastAsia" w:ascii="Calibri" w:hAnsi="Calibri" w:eastAsia="华文细黑"/>
          <w:b/>
          <w:bCs/>
          <w:sz w:val="24"/>
        </w:rPr>
        <w:t>（一）竞赛场地</w:t>
      </w:r>
    </w:p>
    <w:p>
      <w:pPr>
        <w:spacing w:line="360" w:lineRule="auto"/>
        <w:ind w:firstLine="480" w:firstLineChars="200"/>
        <w:rPr>
          <w:rFonts w:hint="eastAsia" w:ascii="Noto Sans Mono CJK JP Regular" w:hAnsi="Noto Sans Mono CJK JP Regular" w:eastAsia="华文细黑" w:cs="Noto Sans Mono CJK JP Regular"/>
          <w:kern w:val="0"/>
          <w:sz w:val="24"/>
          <w:szCs w:val="22"/>
          <w:lang w:val="zh-CN"/>
        </w:rPr>
      </w:pPr>
      <w:r>
        <w:rPr>
          <w:rFonts w:hint="eastAsia" w:ascii="Noto Sans Mono CJK JP Regular" w:hAnsi="Noto Sans Mono CJK JP Regular" w:eastAsia="华文细黑" w:cs="Noto Sans Mono CJK JP Regular"/>
          <w:kern w:val="0"/>
          <w:sz w:val="24"/>
          <w:szCs w:val="22"/>
          <w:lang w:val="zh-CN"/>
        </w:rPr>
        <w:t>1. 竞赛工位</w:t>
      </w:r>
    </w:p>
    <w:p>
      <w:pPr>
        <w:spacing w:line="360" w:lineRule="auto"/>
        <w:ind w:firstLine="480" w:firstLineChars="200"/>
        <w:rPr>
          <w:rFonts w:hint="eastAsia" w:ascii="Noto Sans Mono CJK JP Regular" w:hAnsi="Noto Sans Mono CJK JP Regular" w:eastAsia="华文细黑" w:cs="Noto Sans Mono CJK JP Regular"/>
          <w:kern w:val="0"/>
          <w:sz w:val="24"/>
          <w:szCs w:val="22"/>
          <w:lang w:val="zh-CN"/>
        </w:rPr>
      </w:pPr>
      <w:r>
        <w:rPr>
          <w:rFonts w:hint="eastAsia" w:ascii="Noto Sans Mono CJK JP Regular" w:hAnsi="Noto Sans Mono CJK JP Regular" w:eastAsia="华文细黑" w:cs="Noto Sans Mono CJK JP Regular"/>
          <w:kern w:val="0"/>
          <w:sz w:val="24"/>
          <w:szCs w:val="22"/>
          <w:lang w:val="zh-CN"/>
        </w:rPr>
        <w:t>单人单工位操作，操作竞赛模块一每人4平方米（2米×2米），操作竞赛模块二每人14平方米（3.5米×4米），最终以竞赛现场为准。</w:t>
      </w:r>
    </w:p>
    <w:p>
      <w:pPr>
        <w:spacing w:line="360" w:lineRule="auto"/>
        <w:ind w:firstLine="480" w:firstLineChars="200"/>
        <w:rPr>
          <w:rFonts w:hint="eastAsia" w:ascii="Noto Sans Mono CJK JP Regular" w:hAnsi="Noto Sans Mono CJK JP Regular" w:eastAsia="华文细黑" w:cs="Noto Sans Mono CJK JP Regular"/>
          <w:kern w:val="0"/>
          <w:sz w:val="24"/>
          <w:szCs w:val="22"/>
          <w:lang w:val="zh-CN"/>
        </w:rPr>
      </w:pPr>
      <w:r>
        <w:rPr>
          <w:rFonts w:hint="eastAsia" w:ascii="Noto Sans Mono CJK JP Regular" w:hAnsi="Noto Sans Mono CJK JP Regular" w:eastAsia="华文细黑" w:cs="Noto Sans Mono CJK JP Regular"/>
          <w:kern w:val="0"/>
          <w:sz w:val="24"/>
          <w:szCs w:val="22"/>
          <w:lang w:val="zh-CN"/>
        </w:rPr>
        <w:t>2. 赛场设施</w:t>
      </w:r>
    </w:p>
    <w:p>
      <w:pPr>
        <w:spacing w:line="360" w:lineRule="auto"/>
        <w:ind w:firstLine="480" w:firstLineChars="200"/>
        <w:rPr>
          <w:rFonts w:hint="eastAsia" w:ascii="Noto Sans Mono CJK JP Regular" w:hAnsi="Noto Sans Mono CJK JP Regular" w:eastAsia="华文细黑" w:cs="Noto Sans Mono CJK JP Regular"/>
          <w:kern w:val="0"/>
          <w:sz w:val="24"/>
          <w:szCs w:val="22"/>
          <w:lang w:val="zh-CN"/>
        </w:rPr>
      </w:pPr>
      <w:r>
        <w:rPr>
          <w:rFonts w:hint="eastAsia" w:ascii="Noto Sans Mono CJK JP Regular" w:hAnsi="Noto Sans Mono CJK JP Regular" w:eastAsia="华文细黑" w:cs="Noto Sans Mono CJK JP Regular"/>
          <w:kern w:val="0"/>
          <w:sz w:val="24"/>
          <w:szCs w:val="22"/>
          <w:lang w:val="zh-CN"/>
        </w:rPr>
        <w:t>竞赛赛场提供竞赛所需的操作台、椅子、编程计算机等设施，选手不得携带编程计算机进入竞赛区域。</w:t>
      </w:r>
    </w:p>
    <w:p>
      <w:pPr>
        <w:spacing w:line="360" w:lineRule="auto"/>
        <w:ind w:firstLine="480" w:firstLineChars="200"/>
        <w:rPr>
          <w:rFonts w:hint="eastAsia" w:ascii="Noto Sans Mono CJK JP Regular" w:hAnsi="Noto Sans Mono CJK JP Regular" w:eastAsia="华文细黑" w:cs="Noto Sans Mono CJK JP Regular"/>
          <w:kern w:val="0"/>
          <w:sz w:val="24"/>
          <w:szCs w:val="22"/>
          <w:lang w:val="zh-CN"/>
        </w:rPr>
      </w:pPr>
      <w:r>
        <w:rPr>
          <w:rFonts w:hint="eastAsia" w:ascii="Noto Sans Mono CJK JP Regular" w:hAnsi="Noto Sans Mono CJK JP Regular" w:eastAsia="华文细黑" w:cs="Noto Sans Mono CJK JP Regular"/>
          <w:kern w:val="0"/>
          <w:sz w:val="24"/>
          <w:szCs w:val="22"/>
          <w:lang w:val="zh-CN"/>
        </w:rPr>
        <w:t>3. 竞赛设备及技术参数见表2。</w:t>
      </w:r>
    </w:p>
    <w:p>
      <w:pPr>
        <w:spacing w:line="360" w:lineRule="auto"/>
        <w:jc w:val="center"/>
        <w:rPr>
          <w:rFonts w:ascii="Calibri" w:hAnsi="Calibri" w:eastAsia="华文细黑"/>
          <w:sz w:val="24"/>
          <w:lang w:val="zh-CN"/>
        </w:rPr>
      </w:pPr>
      <w:r>
        <w:rPr>
          <w:rFonts w:hint="eastAsia" w:ascii="Calibri" w:hAnsi="Calibri" w:eastAsia="华文细黑"/>
          <w:sz w:val="24"/>
          <w:lang w:val="zh-CN"/>
        </w:rPr>
        <w:t>表</w:t>
      </w:r>
      <w:r>
        <w:rPr>
          <w:rFonts w:ascii="Calibri" w:hAnsi="Calibri" w:eastAsia="华文细黑"/>
          <w:sz w:val="24"/>
          <w:lang w:val="zh-CN"/>
        </w:rPr>
        <w:t xml:space="preserve">2.  </w:t>
      </w:r>
      <w:r>
        <w:rPr>
          <w:rFonts w:hint="eastAsia" w:ascii="Noto Sans Mono CJK JP Regular" w:hAnsi="Noto Sans Mono CJK JP Regular" w:eastAsia="华文细黑" w:cs="Noto Sans Mono CJK JP Regular"/>
          <w:kern w:val="0"/>
          <w:sz w:val="24"/>
          <w:szCs w:val="22"/>
          <w:lang w:val="zh-CN"/>
        </w:rPr>
        <w:t>竞赛设备及技术参数</w:t>
      </w:r>
    </w:p>
    <w:tbl>
      <w:tblPr>
        <w:tblStyle w:val="12"/>
        <w:tblW w:w="8359" w:type="dxa"/>
        <w:tblInd w:w="0" w:type="dxa"/>
        <w:tblLayout w:type="autofit"/>
        <w:tblCellMar>
          <w:top w:w="0" w:type="dxa"/>
          <w:left w:w="108" w:type="dxa"/>
          <w:bottom w:w="0" w:type="dxa"/>
          <w:right w:w="108" w:type="dxa"/>
        </w:tblCellMar>
      </w:tblPr>
      <w:tblGrid>
        <w:gridCol w:w="704"/>
        <w:gridCol w:w="2156"/>
        <w:gridCol w:w="3320"/>
        <w:gridCol w:w="1045"/>
        <w:gridCol w:w="1134"/>
      </w:tblGrid>
      <w:tr>
        <w:tblPrEx>
          <w:tblCellMar>
            <w:top w:w="0" w:type="dxa"/>
            <w:left w:w="108" w:type="dxa"/>
            <w:bottom w:w="0" w:type="dxa"/>
            <w:right w:w="108" w:type="dxa"/>
          </w:tblCellMar>
        </w:tblPrEx>
        <w:trPr>
          <w:trHeight w:val="380" w:hRule="atLeast"/>
        </w:trPr>
        <w:tc>
          <w:tcPr>
            <w:tcW w:w="8359" w:type="dxa"/>
            <w:gridSpan w:val="5"/>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等线" w:hAnsi="等线" w:eastAsia="等线" w:cs="宋体"/>
                <w:color w:val="000000"/>
                <w:kern w:val="0"/>
                <w:sz w:val="22"/>
                <w:szCs w:val="22"/>
              </w:rPr>
            </w:pPr>
            <w:bookmarkStart w:id="22" w:name="OLE_LINK7"/>
            <w:r>
              <w:rPr>
                <w:rFonts w:hint="eastAsia" w:ascii="等线" w:hAnsi="等线" w:eastAsia="等线" w:cs="宋体"/>
                <w:color w:val="000000"/>
                <w:kern w:val="0"/>
                <w:sz w:val="22"/>
                <w:szCs w:val="22"/>
              </w:rPr>
              <w:t>模块一  竞赛设备和软件清单</w:t>
            </w:r>
            <w:bookmarkEnd w:id="22"/>
          </w:p>
        </w:tc>
      </w:tr>
      <w:tr>
        <w:tblPrEx>
          <w:tblCellMar>
            <w:top w:w="0" w:type="dxa"/>
            <w:left w:w="108" w:type="dxa"/>
            <w:bottom w:w="0" w:type="dxa"/>
            <w:right w:w="108" w:type="dxa"/>
          </w:tblCellMar>
        </w:tblPrEx>
        <w:trPr>
          <w:trHeight w:val="380" w:hRule="atLeast"/>
        </w:trPr>
        <w:tc>
          <w:tcPr>
            <w:tcW w:w="704"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序号</w:t>
            </w:r>
          </w:p>
        </w:tc>
        <w:tc>
          <w:tcPr>
            <w:tcW w:w="2156" w:type="dxa"/>
            <w:tcBorders>
              <w:top w:val="single" w:color="auto" w:sz="4" w:space="0"/>
              <w:left w:val="nil"/>
              <w:bottom w:val="single" w:color="auto" w:sz="4" w:space="0"/>
              <w:right w:val="single" w:color="auto" w:sz="4" w:space="0"/>
            </w:tcBorders>
            <w:noWrap/>
            <w:vAlign w:val="center"/>
          </w:tcPr>
          <w:p>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名称</w:t>
            </w:r>
          </w:p>
        </w:tc>
        <w:tc>
          <w:tcPr>
            <w:tcW w:w="3320" w:type="dxa"/>
            <w:tcBorders>
              <w:top w:val="single" w:color="auto" w:sz="4" w:space="0"/>
              <w:left w:val="nil"/>
              <w:bottom w:val="single" w:color="auto" w:sz="4" w:space="0"/>
              <w:right w:val="single" w:color="auto" w:sz="4" w:space="0"/>
            </w:tcBorders>
            <w:noWrap/>
            <w:vAlign w:val="center"/>
          </w:tcPr>
          <w:p>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规格/型号</w:t>
            </w:r>
          </w:p>
        </w:tc>
        <w:tc>
          <w:tcPr>
            <w:tcW w:w="1045" w:type="dxa"/>
            <w:tcBorders>
              <w:top w:val="single" w:color="auto" w:sz="4" w:space="0"/>
              <w:left w:val="nil"/>
              <w:bottom w:val="single" w:color="auto" w:sz="4" w:space="0"/>
              <w:right w:val="single" w:color="auto" w:sz="4" w:space="0"/>
            </w:tcBorders>
            <w:noWrap/>
            <w:vAlign w:val="center"/>
          </w:tcPr>
          <w:p>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单位</w:t>
            </w:r>
          </w:p>
        </w:tc>
        <w:tc>
          <w:tcPr>
            <w:tcW w:w="1134" w:type="dxa"/>
            <w:tcBorders>
              <w:top w:val="single" w:color="auto" w:sz="4" w:space="0"/>
              <w:left w:val="nil"/>
              <w:bottom w:val="single" w:color="auto" w:sz="4" w:space="0"/>
              <w:right w:val="single" w:color="auto" w:sz="4" w:space="0"/>
            </w:tcBorders>
            <w:noWrap/>
            <w:vAlign w:val="center"/>
          </w:tcPr>
          <w:p>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数量</w:t>
            </w:r>
          </w:p>
        </w:tc>
      </w:tr>
      <w:tr>
        <w:tblPrEx>
          <w:tblCellMar>
            <w:top w:w="0" w:type="dxa"/>
            <w:left w:w="108" w:type="dxa"/>
            <w:bottom w:w="0" w:type="dxa"/>
            <w:right w:w="108" w:type="dxa"/>
          </w:tblCellMar>
        </w:tblPrEx>
        <w:trPr>
          <w:trHeight w:val="380" w:hRule="atLeast"/>
        </w:trPr>
        <w:tc>
          <w:tcPr>
            <w:tcW w:w="704"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等线" w:hAnsi="等线" w:eastAsia="等线" w:cs="宋体"/>
                <w:color w:val="000000"/>
                <w:kern w:val="0"/>
                <w:sz w:val="22"/>
                <w:szCs w:val="22"/>
              </w:rPr>
            </w:pPr>
            <w:bookmarkStart w:id="23" w:name="_Hlk229753232"/>
            <w:r>
              <w:rPr>
                <w:rFonts w:hint="eastAsia" w:ascii="等线" w:hAnsi="等线" w:eastAsia="等线" w:cs="宋体"/>
                <w:color w:val="000000"/>
                <w:kern w:val="0"/>
                <w:sz w:val="22"/>
                <w:szCs w:val="22"/>
              </w:rPr>
              <w:t>1</w:t>
            </w:r>
          </w:p>
        </w:tc>
        <w:tc>
          <w:tcPr>
            <w:tcW w:w="2156" w:type="dxa"/>
            <w:tcBorders>
              <w:top w:val="single" w:color="auto" w:sz="4" w:space="0"/>
              <w:left w:val="nil"/>
              <w:bottom w:val="single" w:color="auto" w:sz="4" w:space="0"/>
              <w:right w:val="single" w:color="auto" w:sz="4" w:space="0"/>
            </w:tcBorders>
            <w:noWrap/>
            <w:vAlign w:val="center"/>
          </w:tcPr>
          <w:p>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计算机</w:t>
            </w:r>
          </w:p>
        </w:tc>
        <w:tc>
          <w:tcPr>
            <w:tcW w:w="3320" w:type="dxa"/>
            <w:tcBorders>
              <w:top w:val="single" w:color="auto" w:sz="4" w:space="0"/>
              <w:left w:val="nil"/>
              <w:bottom w:val="single" w:color="auto" w:sz="4" w:space="0"/>
              <w:right w:val="single" w:color="auto" w:sz="4" w:space="0"/>
            </w:tcBorders>
            <w:noWrap/>
            <w:vAlign w:val="center"/>
          </w:tcPr>
          <w:p>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含显示器，键鼠套装</w:t>
            </w:r>
          </w:p>
        </w:tc>
        <w:tc>
          <w:tcPr>
            <w:tcW w:w="1045" w:type="dxa"/>
            <w:tcBorders>
              <w:top w:val="single" w:color="auto" w:sz="4" w:space="0"/>
              <w:left w:val="nil"/>
              <w:bottom w:val="single" w:color="auto" w:sz="4" w:space="0"/>
              <w:right w:val="single" w:color="auto" w:sz="4" w:space="0"/>
            </w:tcBorders>
            <w:noWrap/>
            <w:vAlign w:val="center"/>
          </w:tcPr>
          <w:p>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套</w:t>
            </w:r>
          </w:p>
        </w:tc>
        <w:tc>
          <w:tcPr>
            <w:tcW w:w="1134" w:type="dxa"/>
            <w:tcBorders>
              <w:top w:val="single" w:color="auto" w:sz="4" w:space="0"/>
              <w:left w:val="nil"/>
              <w:bottom w:val="single" w:color="auto" w:sz="4" w:space="0"/>
              <w:right w:val="single" w:color="auto" w:sz="4" w:space="0"/>
            </w:tcBorders>
            <w:noWrap/>
            <w:vAlign w:val="center"/>
          </w:tcPr>
          <w:p>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1</w:t>
            </w:r>
          </w:p>
        </w:tc>
      </w:tr>
      <w:tr>
        <w:tblPrEx>
          <w:tblCellMar>
            <w:top w:w="0" w:type="dxa"/>
            <w:left w:w="108" w:type="dxa"/>
            <w:bottom w:w="0" w:type="dxa"/>
            <w:right w:w="108" w:type="dxa"/>
          </w:tblCellMar>
        </w:tblPrEx>
        <w:trPr>
          <w:trHeight w:val="380" w:hRule="atLeast"/>
        </w:trPr>
        <w:tc>
          <w:tcPr>
            <w:tcW w:w="704"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2</w:t>
            </w:r>
          </w:p>
        </w:tc>
        <w:tc>
          <w:tcPr>
            <w:tcW w:w="2156" w:type="dxa"/>
            <w:tcBorders>
              <w:top w:val="single" w:color="auto" w:sz="4" w:space="0"/>
              <w:left w:val="nil"/>
              <w:bottom w:val="single" w:color="auto" w:sz="4" w:space="0"/>
              <w:right w:val="single" w:color="auto" w:sz="4" w:space="0"/>
            </w:tcBorders>
            <w:noWrap/>
            <w:vAlign w:val="center"/>
          </w:tcPr>
          <w:p>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编程软件：5G智能制造专网实训平台</w:t>
            </w:r>
          </w:p>
        </w:tc>
        <w:tc>
          <w:tcPr>
            <w:tcW w:w="3320" w:type="dxa"/>
            <w:tcBorders>
              <w:top w:val="single" w:color="auto" w:sz="4" w:space="0"/>
              <w:left w:val="nil"/>
              <w:bottom w:val="single" w:color="auto" w:sz="4" w:space="0"/>
              <w:right w:val="single" w:color="auto" w:sz="4" w:space="0"/>
            </w:tcBorders>
            <w:noWrap/>
            <w:vAlign w:val="center"/>
          </w:tcPr>
          <w:p>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V2.0.5</w:t>
            </w:r>
          </w:p>
        </w:tc>
        <w:tc>
          <w:tcPr>
            <w:tcW w:w="1045" w:type="dxa"/>
            <w:tcBorders>
              <w:top w:val="single" w:color="auto" w:sz="4" w:space="0"/>
              <w:left w:val="nil"/>
              <w:bottom w:val="single" w:color="auto" w:sz="4" w:space="0"/>
              <w:right w:val="single" w:color="auto" w:sz="4" w:space="0"/>
            </w:tcBorders>
            <w:noWrap/>
            <w:vAlign w:val="center"/>
          </w:tcPr>
          <w:p>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套</w:t>
            </w:r>
          </w:p>
        </w:tc>
        <w:tc>
          <w:tcPr>
            <w:tcW w:w="1134" w:type="dxa"/>
            <w:tcBorders>
              <w:top w:val="single" w:color="auto" w:sz="4" w:space="0"/>
              <w:left w:val="nil"/>
              <w:bottom w:val="single" w:color="auto" w:sz="4" w:space="0"/>
              <w:right w:val="single" w:color="auto" w:sz="4" w:space="0"/>
            </w:tcBorders>
            <w:noWrap/>
            <w:vAlign w:val="center"/>
          </w:tcPr>
          <w:p>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1</w:t>
            </w:r>
          </w:p>
          <w:bookmarkEnd w:id="23"/>
        </w:tc>
      </w:tr>
      <w:tr>
        <w:tblPrEx>
          <w:tblCellMar>
            <w:top w:w="0" w:type="dxa"/>
            <w:left w:w="108" w:type="dxa"/>
            <w:bottom w:w="0" w:type="dxa"/>
            <w:right w:w="108" w:type="dxa"/>
          </w:tblCellMar>
        </w:tblPrEx>
        <w:trPr>
          <w:trHeight w:val="380" w:hRule="atLeast"/>
        </w:trPr>
        <w:tc>
          <w:tcPr>
            <w:tcW w:w="8359" w:type="dxa"/>
            <w:gridSpan w:val="5"/>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模块二  竞赛设备和软件清单</w:t>
            </w:r>
          </w:p>
        </w:tc>
      </w:tr>
      <w:tr>
        <w:tblPrEx>
          <w:tblCellMar>
            <w:top w:w="0" w:type="dxa"/>
            <w:left w:w="108" w:type="dxa"/>
            <w:bottom w:w="0" w:type="dxa"/>
            <w:right w:w="108" w:type="dxa"/>
          </w:tblCellMar>
        </w:tblPrEx>
        <w:trPr>
          <w:trHeight w:val="380" w:hRule="atLeast"/>
        </w:trPr>
        <w:tc>
          <w:tcPr>
            <w:tcW w:w="704"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序号</w:t>
            </w:r>
          </w:p>
        </w:tc>
        <w:tc>
          <w:tcPr>
            <w:tcW w:w="2156" w:type="dxa"/>
            <w:tcBorders>
              <w:top w:val="single" w:color="auto" w:sz="4" w:space="0"/>
              <w:left w:val="nil"/>
              <w:bottom w:val="single" w:color="auto" w:sz="4" w:space="0"/>
              <w:right w:val="single" w:color="auto" w:sz="4" w:space="0"/>
            </w:tcBorders>
            <w:noWrap/>
            <w:vAlign w:val="center"/>
          </w:tcPr>
          <w:p>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名称</w:t>
            </w:r>
          </w:p>
        </w:tc>
        <w:tc>
          <w:tcPr>
            <w:tcW w:w="3320" w:type="dxa"/>
            <w:tcBorders>
              <w:top w:val="single" w:color="auto" w:sz="4" w:space="0"/>
              <w:left w:val="nil"/>
              <w:bottom w:val="single" w:color="auto" w:sz="4" w:space="0"/>
              <w:right w:val="single" w:color="auto" w:sz="4" w:space="0"/>
            </w:tcBorders>
            <w:noWrap/>
            <w:vAlign w:val="center"/>
          </w:tcPr>
          <w:p>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规格/型号</w:t>
            </w:r>
          </w:p>
        </w:tc>
        <w:tc>
          <w:tcPr>
            <w:tcW w:w="1045" w:type="dxa"/>
            <w:tcBorders>
              <w:top w:val="single" w:color="auto" w:sz="4" w:space="0"/>
              <w:left w:val="nil"/>
              <w:bottom w:val="single" w:color="auto" w:sz="4" w:space="0"/>
              <w:right w:val="single" w:color="auto" w:sz="4" w:space="0"/>
            </w:tcBorders>
            <w:noWrap/>
            <w:vAlign w:val="center"/>
          </w:tcPr>
          <w:p>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单位</w:t>
            </w:r>
          </w:p>
        </w:tc>
        <w:tc>
          <w:tcPr>
            <w:tcW w:w="1134" w:type="dxa"/>
            <w:tcBorders>
              <w:top w:val="single" w:color="auto" w:sz="4" w:space="0"/>
              <w:left w:val="nil"/>
              <w:bottom w:val="single" w:color="auto" w:sz="4" w:space="0"/>
              <w:right w:val="single" w:color="auto" w:sz="4" w:space="0"/>
            </w:tcBorders>
            <w:noWrap/>
            <w:vAlign w:val="center"/>
          </w:tcPr>
          <w:p>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数量</w:t>
            </w:r>
          </w:p>
        </w:tc>
      </w:tr>
      <w:tr>
        <w:tblPrEx>
          <w:tblCellMar>
            <w:top w:w="0" w:type="dxa"/>
            <w:left w:w="108" w:type="dxa"/>
            <w:bottom w:w="0" w:type="dxa"/>
            <w:right w:w="108" w:type="dxa"/>
          </w:tblCellMar>
        </w:tblPrEx>
        <w:trPr>
          <w:trHeight w:val="460" w:hRule="atLeast"/>
        </w:trPr>
        <w:tc>
          <w:tcPr>
            <w:tcW w:w="704" w:type="dxa"/>
            <w:tcBorders>
              <w:top w:val="nil"/>
              <w:left w:val="single" w:color="auto" w:sz="4" w:space="0"/>
              <w:bottom w:val="single" w:color="auto" w:sz="4" w:space="0"/>
              <w:right w:val="single" w:color="auto" w:sz="4" w:space="0"/>
            </w:tcBorders>
            <w:noWrap/>
            <w:vAlign w:val="center"/>
          </w:tcPr>
          <w:p>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1</w:t>
            </w:r>
          </w:p>
        </w:tc>
        <w:tc>
          <w:tcPr>
            <w:tcW w:w="2156" w:type="dxa"/>
            <w:tcBorders>
              <w:top w:val="nil"/>
              <w:left w:val="nil"/>
              <w:bottom w:val="single" w:color="auto" w:sz="4" w:space="0"/>
              <w:right w:val="single" w:color="auto" w:sz="4" w:space="0"/>
            </w:tcBorders>
            <w:noWrap/>
            <w:vAlign w:val="center"/>
          </w:tcPr>
          <w:p>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飞腾派处理器</w:t>
            </w:r>
          </w:p>
        </w:tc>
        <w:tc>
          <w:tcPr>
            <w:tcW w:w="3320" w:type="dxa"/>
            <w:tcBorders>
              <w:top w:val="nil"/>
              <w:left w:val="nil"/>
              <w:bottom w:val="single" w:color="auto" w:sz="4" w:space="0"/>
              <w:right w:val="single" w:color="auto" w:sz="4" w:space="0"/>
            </w:tcBorders>
            <w:noWrap/>
            <w:vAlign w:val="center"/>
          </w:tcPr>
          <w:p>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飞腾腾珑系列 E2000Q</w:t>
            </w:r>
          </w:p>
        </w:tc>
        <w:tc>
          <w:tcPr>
            <w:tcW w:w="1045" w:type="dxa"/>
            <w:tcBorders>
              <w:top w:val="nil"/>
              <w:left w:val="nil"/>
              <w:bottom w:val="single" w:color="auto" w:sz="4" w:space="0"/>
              <w:right w:val="single" w:color="auto" w:sz="4" w:space="0"/>
            </w:tcBorders>
            <w:noWrap/>
            <w:vAlign w:val="center"/>
          </w:tcPr>
          <w:p>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套</w:t>
            </w:r>
          </w:p>
        </w:tc>
        <w:tc>
          <w:tcPr>
            <w:tcW w:w="1134" w:type="dxa"/>
            <w:tcBorders>
              <w:top w:val="nil"/>
              <w:left w:val="nil"/>
              <w:bottom w:val="single" w:color="auto" w:sz="4" w:space="0"/>
              <w:right w:val="single" w:color="auto" w:sz="4" w:space="0"/>
            </w:tcBorders>
            <w:noWrap/>
            <w:vAlign w:val="center"/>
          </w:tcPr>
          <w:p>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1</w:t>
            </w:r>
          </w:p>
        </w:tc>
      </w:tr>
      <w:tr>
        <w:tblPrEx>
          <w:tblCellMar>
            <w:top w:w="0" w:type="dxa"/>
            <w:left w:w="108" w:type="dxa"/>
            <w:bottom w:w="0" w:type="dxa"/>
            <w:right w:w="108" w:type="dxa"/>
          </w:tblCellMar>
        </w:tblPrEx>
        <w:trPr>
          <w:trHeight w:val="460" w:hRule="atLeast"/>
        </w:trPr>
        <w:tc>
          <w:tcPr>
            <w:tcW w:w="704" w:type="dxa"/>
            <w:tcBorders>
              <w:top w:val="nil"/>
              <w:left w:val="single" w:color="auto" w:sz="4" w:space="0"/>
              <w:bottom w:val="single" w:color="auto" w:sz="4" w:space="0"/>
              <w:right w:val="single" w:color="auto" w:sz="4" w:space="0"/>
            </w:tcBorders>
            <w:noWrap/>
            <w:vAlign w:val="center"/>
          </w:tcPr>
          <w:p>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2</w:t>
            </w:r>
          </w:p>
        </w:tc>
        <w:tc>
          <w:tcPr>
            <w:tcW w:w="2156" w:type="dxa"/>
            <w:tcBorders>
              <w:top w:val="nil"/>
              <w:left w:val="nil"/>
              <w:bottom w:val="single" w:color="auto" w:sz="4" w:space="0"/>
              <w:right w:val="single" w:color="auto" w:sz="4" w:space="0"/>
            </w:tcBorders>
            <w:noWrap/>
            <w:vAlign w:val="center"/>
          </w:tcPr>
          <w:p>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仿人构型机械臂</w:t>
            </w:r>
          </w:p>
        </w:tc>
        <w:tc>
          <w:tcPr>
            <w:tcW w:w="3320" w:type="dxa"/>
            <w:tcBorders>
              <w:top w:val="nil"/>
              <w:left w:val="nil"/>
              <w:bottom w:val="single" w:color="auto" w:sz="4" w:space="0"/>
              <w:right w:val="single" w:color="auto" w:sz="4" w:space="0"/>
            </w:tcBorders>
            <w:noWrap/>
            <w:vAlign w:val="center"/>
          </w:tcPr>
          <w:p>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6 自由度轻量化CTATC-RM65</w:t>
            </w:r>
          </w:p>
        </w:tc>
        <w:tc>
          <w:tcPr>
            <w:tcW w:w="1045" w:type="dxa"/>
            <w:tcBorders>
              <w:top w:val="nil"/>
              <w:left w:val="nil"/>
              <w:bottom w:val="single" w:color="auto" w:sz="4" w:space="0"/>
              <w:right w:val="single" w:color="auto" w:sz="4" w:space="0"/>
            </w:tcBorders>
            <w:noWrap/>
            <w:vAlign w:val="center"/>
          </w:tcPr>
          <w:p>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套</w:t>
            </w:r>
          </w:p>
        </w:tc>
        <w:tc>
          <w:tcPr>
            <w:tcW w:w="1134" w:type="dxa"/>
            <w:tcBorders>
              <w:top w:val="nil"/>
              <w:left w:val="nil"/>
              <w:bottom w:val="single" w:color="auto" w:sz="4" w:space="0"/>
              <w:right w:val="single" w:color="auto" w:sz="4" w:space="0"/>
            </w:tcBorders>
            <w:noWrap/>
            <w:vAlign w:val="center"/>
          </w:tcPr>
          <w:p>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1</w:t>
            </w:r>
          </w:p>
        </w:tc>
      </w:tr>
      <w:tr>
        <w:tblPrEx>
          <w:tblCellMar>
            <w:top w:w="0" w:type="dxa"/>
            <w:left w:w="108" w:type="dxa"/>
            <w:bottom w:w="0" w:type="dxa"/>
            <w:right w:w="108" w:type="dxa"/>
          </w:tblCellMar>
        </w:tblPrEx>
        <w:trPr>
          <w:trHeight w:val="460" w:hRule="atLeast"/>
        </w:trPr>
        <w:tc>
          <w:tcPr>
            <w:tcW w:w="704" w:type="dxa"/>
            <w:tcBorders>
              <w:top w:val="nil"/>
              <w:left w:val="single" w:color="auto" w:sz="4" w:space="0"/>
              <w:bottom w:val="single" w:color="auto" w:sz="4" w:space="0"/>
              <w:right w:val="single" w:color="auto" w:sz="4" w:space="0"/>
            </w:tcBorders>
            <w:noWrap/>
            <w:vAlign w:val="center"/>
          </w:tcPr>
          <w:p>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3</w:t>
            </w:r>
          </w:p>
        </w:tc>
        <w:tc>
          <w:tcPr>
            <w:tcW w:w="2156" w:type="dxa"/>
            <w:tcBorders>
              <w:top w:val="nil"/>
              <w:left w:val="nil"/>
              <w:bottom w:val="single" w:color="auto" w:sz="4" w:space="0"/>
              <w:right w:val="single" w:color="auto" w:sz="4" w:space="0"/>
            </w:tcBorders>
            <w:noWrap/>
            <w:vAlign w:val="center"/>
          </w:tcPr>
          <w:p>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彩色视觉单元</w:t>
            </w:r>
          </w:p>
        </w:tc>
        <w:tc>
          <w:tcPr>
            <w:tcW w:w="3320" w:type="dxa"/>
            <w:tcBorders>
              <w:top w:val="nil"/>
              <w:left w:val="nil"/>
              <w:bottom w:val="single" w:color="auto" w:sz="4" w:space="0"/>
              <w:right w:val="single" w:color="auto" w:sz="4" w:space="0"/>
            </w:tcBorders>
            <w:noWrap/>
            <w:vAlign w:val="center"/>
          </w:tcPr>
          <w:p>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包括CTATC-HV彩色相机、镜头、光源等</w:t>
            </w:r>
          </w:p>
        </w:tc>
        <w:tc>
          <w:tcPr>
            <w:tcW w:w="1045" w:type="dxa"/>
            <w:tcBorders>
              <w:top w:val="nil"/>
              <w:left w:val="nil"/>
              <w:bottom w:val="single" w:color="auto" w:sz="4" w:space="0"/>
              <w:right w:val="single" w:color="auto" w:sz="4" w:space="0"/>
            </w:tcBorders>
            <w:noWrap/>
            <w:vAlign w:val="center"/>
          </w:tcPr>
          <w:p>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套</w:t>
            </w:r>
          </w:p>
        </w:tc>
        <w:tc>
          <w:tcPr>
            <w:tcW w:w="1134" w:type="dxa"/>
            <w:tcBorders>
              <w:top w:val="nil"/>
              <w:left w:val="nil"/>
              <w:bottom w:val="single" w:color="auto" w:sz="4" w:space="0"/>
              <w:right w:val="single" w:color="auto" w:sz="4" w:space="0"/>
            </w:tcBorders>
            <w:noWrap/>
            <w:vAlign w:val="center"/>
          </w:tcPr>
          <w:p>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1</w:t>
            </w:r>
          </w:p>
        </w:tc>
      </w:tr>
      <w:tr>
        <w:tblPrEx>
          <w:tblCellMar>
            <w:top w:w="0" w:type="dxa"/>
            <w:left w:w="108" w:type="dxa"/>
            <w:bottom w:w="0" w:type="dxa"/>
            <w:right w:w="108" w:type="dxa"/>
          </w:tblCellMar>
        </w:tblPrEx>
        <w:trPr>
          <w:trHeight w:val="460" w:hRule="atLeast"/>
        </w:trPr>
        <w:tc>
          <w:tcPr>
            <w:tcW w:w="704" w:type="dxa"/>
            <w:tcBorders>
              <w:top w:val="nil"/>
              <w:left w:val="single" w:color="auto" w:sz="4" w:space="0"/>
              <w:bottom w:val="single" w:color="auto" w:sz="4" w:space="0"/>
              <w:right w:val="single" w:color="auto" w:sz="4" w:space="0"/>
            </w:tcBorders>
            <w:noWrap/>
            <w:vAlign w:val="center"/>
          </w:tcPr>
          <w:p>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4</w:t>
            </w:r>
          </w:p>
        </w:tc>
        <w:tc>
          <w:tcPr>
            <w:tcW w:w="2156" w:type="dxa"/>
            <w:tcBorders>
              <w:top w:val="nil"/>
              <w:left w:val="nil"/>
              <w:bottom w:val="single" w:color="auto" w:sz="4" w:space="0"/>
              <w:right w:val="single" w:color="auto" w:sz="4" w:space="0"/>
            </w:tcBorders>
            <w:noWrap/>
            <w:vAlign w:val="center"/>
          </w:tcPr>
          <w:p>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仿生机械手</w:t>
            </w:r>
          </w:p>
        </w:tc>
        <w:tc>
          <w:tcPr>
            <w:tcW w:w="3320" w:type="dxa"/>
            <w:tcBorders>
              <w:top w:val="nil"/>
              <w:left w:val="nil"/>
              <w:bottom w:val="single" w:color="auto" w:sz="4" w:space="0"/>
              <w:right w:val="single" w:color="auto" w:sz="4" w:space="0"/>
            </w:tcBorders>
            <w:noWrap/>
            <w:vAlign w:val="center"/>
          </w:tcPr>
          <w:p>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CTATC-FL</w:t>
            </w:r>
          </w:p>
        </w:tc>
        <w:tc>
          <w:tcPr>
            <w:tcW w:w="1045" w:type="dxa"/>
            <w:tcBorders>
              <w:top w:val="nil"/>
              <w:left w:val="nil"/>
              <w:bottom w:val="single" w:color="auto" w:sz="4" w:space="0"/>
              <w:right w:val="single" w:color="auto" w:sz="4" w:space="0"/>
            </w:tcBorders>
            <w:noWrap/>
            <w:vAlign w:val="center"/>
          </w:tcPr>
          <w:p>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套</w:t>
            </w:r>
          </w:p>
        </w:tc>
        <w:tc>
          <w:tcPr>
            <w:tcW w:w="1134" w:type="dxa"/>
            <w:tcBorders>
              <w:top w:val="nil"/>
              <w:left w:val="nil"/>
              <w:bottom w:val="single" w:color="auto" w:sz="4" w:space="0"/>
              <w:right w:val="single" w:color="auto" w:sz="4" w:space="0"/>
            </w:tcBorders>
            <w:noWrap/>
            <w:vAlign w:val="center"/>
          </w:tcPr>
          <w:p>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1</w:t>
            </w:r>
          </w:p>
        </w:tc>
      </w:tr>
      <w:tr>
        <w:tblPrEx>
          <w:tblCellMar>
            <w:top w:w="0" w:type="dxa"/>
            <w:left w:w="108" w:type="dxa"/>
            <w:bottom w:w="0" w:type="dxa"/>
            <w:right w:w="108" w:type="dxa"/>
          </w:tblCellMar>
        </w:tblPrEx>
        <w:trPr>
          <w:trHeight w:val="460" w:hRule="atLeast"/>
        </w:trPr>
        <w:tc>
          <w:tcPr>
            <w:tcW w:w="704" w:type="dxa"/>
            <w:tcBorders>
              <w:top w:val="nil"/>
              <w:left w:val="single" w:color="auto" w:sz="4" w:space="0"/>
              <w:bottom w:val="single" w:color="auto" w:sz="4" w:space="0"/>
              <w:right w:val="single" w:color="auto" w:sz="4" w:space="0"/>
            </w:tcBorders>
            <w:noWrap/>
            <w:vAlign w:val="center"/>
          </w:tcPr>
          <w:p>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5</w:t>
            </w:r>
          </w:p>
        </w:tc>
        <w:tc>
          <w:tcPr>
            <w:tcW w:w="2156" w:type="dxa"/>
            <w:tcBorders>
              <w:top w:val="nil"/>
              <w:left w:val="nil"/>
              <w:bottom w:val="single" w:color="auto" w:sz="4" w:space="0"/>
              <w:right w:val="single" w:color="auto" w:sz="4" w:space="0"/>
            </w:tcBorders>
            <w:noWrap/>
            <w:vAlign w:val="center"/>
          </w:tcPr>
          <w:p>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多功能串口服务器</w:t>
            </w:r>
          </w:p>
        </w:tc>
        <w:tc>
          <w:tcPr>
            <w:tcW w:w="3320" w:type="dxa"/>
            <w:tcBorders>
              <w:top w:val="nil"/>
              <w:left w:val="nil"/>
              <w:bottom w:val="single" w:color="auto" w:sz="4" w:space="0"/>
              <w:right w:val="single" w:color="auto" w:sz="4" w:space="0"/>
            </w:tcBorders>
            <w:noWrap/>
            <w:vAlign w:val="center"/>
          </w:tcPr>
          <w:p>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ETH-MODBUS-IO8R-A</w:t>
            </w:r>
          </w:p>
        </w:tc>
        <w:tc>
          <w:tcPr>
            <w:tcW w:w="1045" w:type="dxa"/>
            <w:tcBorders>
              <w:top w:val="nil"/>
              <w:left w:val="nil"/>
              <w:bottom w:val="single" w:color="auto" w:sz="4" w:space="0"/>
              <w:right w:val="single" w:color="auto" w:sz="4" w:space="0"/>
            </w:tcBorders>
            <w:noWrap/>
            <w:vAlign w:val="center"/>
          </w:tcPr>
          <w:p>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套</w:t>
            </w:r>
          </w:p>
        </w:tc>
        <w:tc>
          <w:tcPr>
            <w:tcW w:w="1134" w:type="dxa"/>
            <w:tcBorders>
              <w:top w:val="nil"/>
              <w:left w:val="nil"/>
              <w:bottom w:val="single" w:color="auto" w:sz="4" w:space="0"/>
              <w:right w:val="single" w:color="auto" w:sz="4" w:space="0"/>
            </w:tcBorders>
            <w:noWrap/>
            <w:vAlign w:val="center"/>
          </w:tcPr>
          <w:p>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1</w:t>
            </w:r>
          </w:p>
        </w:tc>
      </w:tr>
      <w:tr>
        <w:tblPrEx>
          <w:tblCellMar>
            <w:top w:w="0" w:type="dxa"/>
            <w:left w:w="108" w:type="dxa"/>
            <w:bottom w:w="0" w:type="dxa"/>
            <w:right w:w="108" w:type="dxa"/>
          </w:tblCellMar>
        </w:tblPrEx>
        <w:trPr>
          <w:trHeight w:val="460" w:hRule="atLeast"/>
        </w:trPr>
        <w:tc>
          <w:tcPr>
            <w:tcW w:w="704" w:type="dxa"/>
            <w:tcBorders>
              <w:top w:val="nil"/>
              <w:left w:val="single" w:color="auto" w:sz="4" w:space="0"/>
              <w:bottom w:val="single" w:color="auto" w:sz="4" w:space="0"/>
              <w:right w:val="single" w:color="auto" w:sz="4" w:space="0"/>
            </w:tcBorders>
            <w:noWrap/>
            <w:vAlign w:val="center"/>
          </w:tcPr>
          <w:p>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6</w:t>
            </w:r>
          </w:p>
        </w:tc>
        <w:tc>
          <w:tcPr>
            <w:tcW w:w="2156" w:type="dxa"/>
            <w:tcBorders>
              <w:top w:val="nil"/>
              <w:left w:val="nil"/>
              <w:bottom w:val="single" w:color="auto" w:sz="4" w:space="0"/>
              <w:right w:val="single" w:color="auto" w:sz="4" w:space="0"/>
            </w:tcBorders>
            <w:noWrap/>
            <w:vAlign w:val="center"/>
          </w:tcPr>
          <w:p>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空气开关</w:t>
            </w:r>
          </w:p>
        </w:tc>
        <w:tc>
          <w:tcPr>
            <w:tcW w:w="3320" w:type="dxa"/>
            <w:tcBorders>
              <w:top w:val="nil"/>
              <w:left w:val="nil"/>
              <w:bottom w:val="single" w:color="auto" w:sz="4" w:space="0"/>
              <w:right w:val="single" w:color="auto" w:sz="4" w:space="0"/>
            </w:tcBorders>
            <w:noWrap/>
            <w:vAlign w:val="center"/>
          </w:tcPr>
          <w:p>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C16</w:t>
            </w:r>
          </w:p>
        </w:tc>
        <w:tc>
          <w:tcPr>
            <w:tcW w:w="1045" w:type="dxa"/>
            <w:tcBorders>
              <w:top w:val="nil"/>
              <w:left w:val="nil"/>
              <w:bottom w:val="single" w:color="auto" w:sz="4" w:space="0"/>
              <w:right w:val="single" w:color="auto" w:sz="4" w:space="0"/>
            </w:tcBorders>
            <w:noWrap/>
            <w:vAlign w:val="center"/>
          </w:tcPr>
          <w:p>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套</w:t>
            </w:r>
          </w:p>
        </w:tc>
        <w:tc>
          <w:tcPr>
            <w:tcW w:w="1134" w:type="dxa"/>
            <w:tcBorders>
              <w:top w:val="nil"/>
              <w:left w:val="nil"/>
              <w:bottom w:val="single" w:color="auto" w:sz="4" w:space="0"/>
              <w:right w:val="single" w:color="auto" w:sz="4" w:space="0"/>
            </w:tcBorders>
            <w:noWrap/>
            <w:vAlign w:val="center"/>
          </w:tcPr>
          <w:p>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1</w:t>
            </w:r>
          </w:p>
        </w:tc>
      </w:tr>
      <w:tr>
        <w:tblPrEx>
          <w:tblCellMar>
            <w:top w:w="0" w:type="dxa"/>
            <w:left w:w="108" w:type="dxa"/>
            <w:bottom w:w="0" w:type="dxa"/>
            <w:right w:w="108" w:type="dxa"/>
          </w:tblCellMar>
        </w:tblPrEx>
        <w:trPr>
          <w:trHeight w:val="460" w:hRule="atLeast"/>
        </w:trPr>
        <w:tc>
          <w:tcPr>
            <w:tcW w:w="704" w:type="dxa"/>
            <w:tcBorders>
              <w:top w:val="nil"/>
              <w:left w:val="single" w:color="auto" w:sz="4" w:space="0"/>
              <w:bottom w:val="single" w:color="auto" w:sz="4" w:space="0"/>
              <w:right w:val="single" w:color="auto" w:sz="4" w:space="0"/>
            </w:tcBorders>
            <w:noWrap/>
            <w:vAlign w:val="center"/>
          </w:tcPr>
          <w:p>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7</w:t>
            </w:r>
          </w:p>
        </w:tc>
        <w:tc>
          <w:tcPr>
            <w:tcW w:w="2156" w:type="dxa"/>
            <w:tcBorders>
              <w:top w:val="nil"/>
              <w:left w:val="nil"/>
              <w:bottom w:val="single" w:color="auto" w:sz="4" w:space="0"/>
              <w:right w:val="single" w:color="auto" w:sz="4" w:space="0"/>
            </w:tcBorders>
            <w:noWrap/>
            <w:vAlign w:val="center"/>
          </w:tcPr>
          <w:p>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电源</w:t>
            </w:r>
          </w:p>
        </w:tc>
        <w:tc>
          <w:tcPr>
            <w:tcW w:w="3320" w:type="dxa"/>
            <w:tcBorders>
              <w:top w:val="nil"/>
              <w:left w:val="nil"/>
              <w:bottom w:val="single" w:color="auto" w:sz="4" w:space="0"/>
              <w:right w:val="single" w:color="auto" w:sz="4" w:space="0"/>
            </w:tcBorders>
            <w:noWrap/>
            <w:vAlign w:val="center"/>
          </w:tcPr>
          <w:p>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NDR-120-24</w:t>
            </w:r>
          </w:p>
        </w:tc>
        <w:tc>
          <w:tcPr>
            <w:tcW w:w="1045" w:type="dxa"/>
            <w:tcBorders>
              <w:top w:val="nil"/>
              <w:left w:val="nil"/>
              <w:bottom w:val="single" w:color="auto" w:sz="4" w:space="0"/>
              <w:right w:val="single" w:color="auto" w:sz="4" w:space="0"/>
            </w:tcBorders>
            <w:noWrap/>
            <w:vAlign w:val="center"/>
          </w:tcPr>
          <w:p>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套</w:t>
            </w:r>
          </w:p>
        </w:tc>
        <w:tc>
          <w:tcPr>
            <w:tcW w:w="1134" w:type="dxa"/>
            <w:tcBorders>
              <w:top w:val="nil"/>
              <w:left w:val="nil"/>
              <w:bottom w:val="single" w:color="auto" w:sz="4" w:space="0"/>
              <w:right w:val="single" w:color="auto" w:sz="4" w:space="0"/>
            </w:tcBorders>
            <w:noWrap/>
            <w:vAlign w:val="center"/>
          </w:tcPr>
          <w:p>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1</w:t>
            </w:r>
          </w:p>
        </w:tc>
      </w:tr>
      <w:tr>
        <w:tblPrEx>
          <w:tblCellMar>
            <w:top w:w="0" w:type="dxa"/>
            <w:left w:w="108" w:type="dxa"/>
            <w:bottom w:w="0" w:type="dxa"/>
            <w:right w:w="108" w:type="dxa"/>
          </w:tblCellMar>
        </w:tblPrEx>
        <w:trPr>
          <w:trHeight w:val="460" w:hRule="atLeast"/>
        </w:trPr>
        <w:tc>
          <w:tcPr>
            <w:tcW w:w="704" w:type="dxa"/>
            <w:tcBorders>
              <w:top w:val="nil"/>
              <w:left w:val="single" w:color="auto" w:sz="4" w:space="0"/>
              <w:bottom w:val="single" w:color="auto" w:sz="4" w:space="0"/>
              <w:right w:val="single" w:color="auto" w:sz="4" w:space="0"/>
            </w:tcBorders>
            <w:noWrap/>
            <w:vAlign w:val="center"/>
          </w:tcPr>
          <w:p>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8</w:t>
            </w:r>
          </w:p>
        </w:tc>
        <w:tc>
          <w:tcPr>
            <w:tcW w:w="2156" w:type="dxa"/>
            <w:tcBorders>
              <w:top w:val="nil"/>
              <w:left w:val="nil"/>
              <w:bottom w:val="single" w:color="auto" w:sz="4" w:space="0"/>
              <w:right w:val="single" w:color="auto" w:sz="4" w:space="0"/>
            </w:tcBorders>
            <w:noWrap/>
            <w:vAlign w:val="center"/>
          </w:tcPr>
          <w:p>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串口服务器</w:t>
            </w:r>
          </w:p>
        </w:tc>
        <w:tc>
          <w:tcPr>
            <w:tcW w:w="3320" w:type="dxa"/>
            <w:tcBorders>
              <w:top w:val="nil"/>
              <w:left w:val="nil"/>
              <w:bottom w:val="single" w:color="auto" w:sz="4" w:space="0"/>
              <w:right w:val="single" w:color="auto" w:sz="4" w:space="0"/>
            </w:tcBorders>
            <w:noWrap/>
            <w:vAlign w:val="center"/>
          </w:tcPr>
          <w:p>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USR-TCP232-410s</w:t>
            </w:r>
          </w:p>
        </w:tc>
        <w:tc>
          <w:tcPr>
            <w:tcW w:w="1045" w:type="dxa"/>
            <w:tcBorders>
              <w:top w:val="nil"/>
              <w:left w:val="nil"/>
              <w:bottom w:val="single" w:color="auto" w:sz="4" w:space="0"/>
              <w:right w:val="single" w:color="auto" w:sz="4" w:space="0"/>
            </w:tcBorders>
            <w:noWrap/>
            <w:vAlign w:val="center"/>
          </w:tcPr>
          <w:p>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套</w:t>
            </w:r>
          </w:p>
        </w:tc>
        <w:tc>
          <w:tcPr>
            <w:tcW w:w="1134" w:type="dxa"/>
            <w:tcBorders>
              <w:top w:val="nil"/>
              <w:left w:val="nil"/>
              <w:bottom w:val="single" w:color="auto" w:sz="4" w:space="0"/>
              <w:right w:val="single" w:color="auto" w:sz="4" w:space="0"/>
            </w:tcBorders>
            <w:noWrap/>
            <w:vAlign w:val="center"/>
          </w:tcPr>
          <w:p>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1</w:t>
            </w:r>
          </w:p>
        </w:tc>
      </w:tr>
      <w:tr>
        <w:tblPrEx>
          <w:tblCellMar>
            <w:top w:w="0" w:type="dxa"/>
            <w:left w:w="108" w:type="dxa"/>
            <w:bottom w:w="0" w:type="dxa"/>
            <w:right w:w="108" w:type="dxa"/>
          </w:tblCellMar>
        </w:tblPrEx>
        <w:trPr>
          <w:trHeight w:val="460" w:hRule="atLeast"/>
        </w:trPr>
        <w:tc>
          <w:tcPr>
            <w:tcW w:w="704" w:type="dxa"/>
            <w:tcBorders>
              <w:top w:val="nil"/>
              <w:left w:val="single" w:color="auto" w:sz="4" w:space="0"/>
              <w:bottom w:val="single" w:color="auto" w:sz="4" w:space="0"/>
              <w:right w:val="single" w:color="auto" w:sz="4" w:space="0"/>
            </w:tcBorders>
            <w:noWrap/>
            <w:vAlign w:val="center"/>
          </w:tcPr>
          <w:p>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9</w:t>
            </w:r>
          </w:p>
        </w:tc>
        <w:tc>
          <w:tcPr>
            <w:tcW w:w="2156" w:type="dxa"/>
            <w:tcBorders>
              <w:top w:val="nil"/>
              <w:left w:val="nil"/>
              <w:bottom w:val="single" w:color="auto" w:sz="4" w:space="0"/>
              <w:right w:val="single" w:color="auto" w:sz="4" w:space="0"/>
            </w:tcBorders>
            <w:noWrap/>
            <w:vAlign w:val="center"/>
          </w:tcPr>
          <w:p>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交换机</w:t>
            </w:r>
          </w:p>
        </w:tc>
        <w:tc>
          <w:tcPr>
            <w:tcW w:w="3320" w:type="dxa"/>
            <w:tcBorders>
              <w:top w:val="nil"/>
              <w:left w:val="nil"/>
              <w:bottom w:val="single" w:color="auto" w:sz="4" w:space="0"/>
              <w:right w:val="single" w:color="auto" w:sz="4" w:space="0"/>
            </w:tcBorders>
            <w:noWrap/>
            <w:vAlign w:val="center"/>
          </w:tcPr>
          <w:p>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TL-SG2008</w:t>
            </w:r>
          </w:p>
        </w:tc>
        <w:tc>
          <w:tcPr>
            <w:tcW w:w="1045" w:type="dxa"/>
            <w:tcBorders>
              <w:top w:val="nil"/>
              <w:left w:val="nil"/>
              <w:bottom w:val="single" w:color="auto" w:sz="4" w:space="0"/>
              <w:right w:val="single" w:color="auto" w:sz="4" w:space="0"/>
            </w:tcBorders>
            <w:noWrap/>
            <w:vAlign w:val="center"/>
          </w:tcPr>
          <w:p>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套</w:t>
            </w:r>
          </w:p>
        </w:tc>
        <w:tc>
          <w:tcPr>
            <w:tcW w:w="1134" w:type="dxa"/>
            <w:tcBorders>
              <w:top w:val="nil"/>
              <w:left w:val="nil"/>
              <w:bottom w:val="single" w:color="auto" w:sz="4" w:space="0"/>
              <w:right w:val="single" w:color="auto" w:sz="4" w:space="0"/>
            </w:tcBorders>
            <w:noWrap/>
            <w:vAlign w:val="center"/>
          </w:tcPr>
          <w:p>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1</w:t>
            </w:r>
          </w:p>
        </w:tc>
      </w:tr>
      <w:tr>
        <w:tblPrEx>
          <w:tblCellMar>
            <w:top w:w="0" w:type="dxa"/>
            <w:left w:w="108" w:type="dxa"/>
            <w:bottom w:w="0" w:type="dxa"/>
            <w:right w:w="108" w:type="dxa"/>
          </w:tblCellMar>
        </w:tblPrEx>
        <w:trPr>
          <w:trHeight w:val="460" w:hRule="atLeast"/>
        </w:trPr>
        <w:tc>
          <w:tcPr>
            <w:tcW w:w="704" w:type="dxa"/>
            <w:tcBorders>
              <w:top w:val="nil"/>
              <w:left w:val="single" w:color="auto" w:sz="4" w:space="0"/>
              <w:bottom w:val="single" w:color="auto" w:sz="4" w:space="0"/>
              <w:right w:val="single" w:color="auto" w:sz="4" w:space="0"/>
            </w:tcBorders>
            <w:noWrap/>
            <w:vAlign w:val="center"/>
          </w:tcPr>
          <w:p>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10</w:t>
            </w:r>
          </w:p>
        </w:tc>
        <w:tc>
          <w:tcPr>
            <w:tcW w:w="2156" w:type="dxa"/>
            <w:tcBorders>
              <w:top w:val="nil"/>
              <w:left w:val="nil"/>
              <w:bottom w:val="single" w:color="auto" w:sz="4" w:space="0"/>
              <w:right w:val="single" w:color="auto" w:sz="4" w:space="0"/>
            </w:tcBorders>
            <w:noWrap/>
            <w:vAlign w:val="center"/>
          </w:tcPr>
          <w:p>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单相电能表</w:t>
            </w:r>
          </w:p>
        </w:tc>
        <w:tc>
          <w:tcPr>
            <w:tcW w:w="3320" w:type="dxa"/>
            <w:tcBorders>
              <w:top w:val="nil"/>
              <w:left w:val="nil"/>
              <w:bottom w:val="single" w:color="auto" w:sz="4" w:space="0"/>
              <w:right w:val="single" w:color="auto" w:sz="4" w:space="0"/>
            </w:tcBorders>
            <w:noWrap/>
            <w:vAlign w:val="center"/>
          </w:tcPr>
          <w:p>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包括显示屏、按键、通信网口CTATC-DX等</w:t>
            </w:r>
          </w:p>
        </w:tc>
        <w:tc>
          <w:tcPr>
            <w:tcW w:w="1045" w:type="dxa"/>
            <w:tcBorders>
              <w:top w:val="nil"/>
              <w:left w:val="nil"/>
              <w:bottom w:val="single" w:color="auto" w:sz="4" w:space="0"/>
              <w:right w:val="single" w:color="auto" w:sz="4" w:space="0"/>
            </w:tcBorders>
            <w:noWrap/>
            <w:vAlign w:val="center"/>
          </w:tcPr>
          <w:p>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套</w:t>
            </w:r>
          </w:p>
        </w:tc>
        <w:tc>
          <w:tcPr>
            <w:tcW w:w="1134" w:type="dxa"/>
            <w:tcBorders>
              <w:top w:val="nil"/>
              <w:left w:val="nil"/>
              <w:bottom w:val="single" w:color="auto" w:sz="4" w:space="0"/>
              <w:right w:val="single" w:color="auto" w:sz="4" w:space="0"/>
            </w:tcBorders>
            <w:noWrap/>
            <w:vAlign w:val="center"/>
          </w:tcPr>
          <w:p>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1</w:t>
            </w:r>
          </w:p>
        </w:tc>
      </w:tr>
      <w:tr>
        <w:tblPrEx>
          <w:tblCellMar>
            <w:top w:w="0" w:type="dxa"/>
            <w:left w:w="108" w:type="dxa"/>
            <w:bottom w:w="0" w:type="dxa"/>
            <w:right w:w="108" w:type="dxa"/>
          </w:tblCellMar>
        </w:tblPrEx>
        <w:trPr>
          <w:trHeight w:val="460" w:hRule="atLeast"/>
        </w:trPr>
        <w:tc>
          <w:tcPr>
            <w:tcW w:w="704" w:type="dxa"/>
            <w:tcBorders>
              <w:top w:val="nil"/>
              <w:left w:val="single" w:color="auto" w:sz="4" w:space="0"/>
              <w:bottom w:val="single" w:color="auto" w:sz="4" w:space="0"/>
              <w:right w:val="single" w:color="auto" w:sz="4" w:space="0"/>
            </w:tcBorders>
            <w:noWrap/>
            <w:vAlign w:val="center"/>
          </w:tcPr>
          <w:p>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11</w:t>
            </w:r>
          </w:p>
        </w:tc>
        <w:tc>
          <w:tcPr>
            <w:tcW w:w="2156" w:type="dxa"/>
            <w:tcBorders>
              <w:top w:val="nil"/>
              <w:left w:val="nil"/>
              <w:bottom w:val="single" w:color="auto" w:sz="4" w:space="0"/>
              <w:right w:val="single" w:color="auto" w:sz="4" w:space="0"/>
            </w:tcBorders>
            <w:noWrap/>
            <w:vAlign w:val="center"/>
          </w:tcPr>
          <w:p>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远程IO模块</w:t>
            </w:r>
          </w:p>
        </w:tc>
        <w:tc>
          <w:tcPr>
            <w:tcW w:w="3320" w:type="dxa"/>
            <w:tcBorders>
              <w:top w:val="nil"/>
              <w:left w:val="nil"/>
              <w:bottom w:val="single" w:color="auto" w:sz="4" w:space="0"/>
              <w:right w:val="single" w:color="auto" w:sz="4" w:space="0"/>
            </w:tcBorders>
            <w:noWrap/>
            <w:vAlign w:val="center"/>
          </w:tcPr>
          <w:p>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CTATC-ETH-IO-FUN-V1.1</w:t>
            </w:r>
          </w:p>
        </w:tc>
        <w:tc>
          <w:tcPr>
            <w:tcW w:w="1045" w:type="dxa"/>
            <w:tcBorders>
              <w:top w:val="nil"/>
              <w:left w:val="nil"/>
              <w:bottom w:val="single" w:color="auto" w:sz="4" w:space="0"/>
              <w:right w:val="single" w:color="auto" w:sz="4" w:space="0"/>
            </w:tcBorders>
            <w:noWrap/>
            <w:vAlign w:val="center"/>
          </w:tcPr>
          <w:p>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套</w:t>
            </w:r>
          </w:p>
        </w:tc>
        <w:tc>
          <w:tcPr>
            <w:tcW w:w="1134" w:type="dxa"/>
            <w:tcBorders>
              <w:top w:val="nil"/>
              <w:left w:val="nil"/>
              <w:bottom w:val="single" w:color="auto" w:sz="4" w:space="0"/>
              <w:right w:val="single" w:color="auto" w:sz="4" w:space="0"/>
            </w:tcBorders>
            <w:noWrap/>
            <w:vAlign w:val="center"/>
          </w:tcPr>
          <w:p>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1</w:t>
            </w:r>
          </w:p>
        </w:tc>
      </w:tr>
      <w:tr>
        <w:tblPrEx>
          <w:tblCellMar>
            <w:top w:w="0" w:type="dxa"/>
            <w:left w:w="108" w:type="dxa"/>
            <w:bottom w:w="0" w:type="dxa"/>
            <w:right w:w="108" w:type="dxa"/>
          </w:tblCellMar>
        </w:tblPrEx>
        <w:trPr>
          <w:trHeight w:val="460" w:hRule="atLeast"/>
        </w:trPr>
        <w:tc>
          <w:tcPr>
            <w:tcW w:w="704" w:type="dxa"/>
            <w:tcBorders>
              <w:top w:val="nil"/>
              <w:left w:val="single" w:color="auto" w:sz="4" w:space="0"/>
              <w:bottom w:val="single" w:color="auto" w:sz="4" w:space="0"/>
              <w:right w:val="single" w:color="auto" w:sz="4" w:space="0"/>
            </w:tcBorders>
            <w:noWrap/>
            <w:vAlign w:val="center"/>
          </w:tcPr>
          <w:p>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12</w:t>
            </w:r>
          </w:p>
        </w:tc>
        <w:tc>
          <w:tcPr>
            <w:tcW w:w="2156" w:type="dxa"/>
            <w:tcBorders>
              <w:top w:val="nil"/>
              <w:left w:val="nil"/>
              <w:bottom w:val="single" w:color="auto" w:sz="4" w:space="0"/>
              <w:right w:val="single" w:color="auto" w:sz="4" w:space="0"/>
            </w:tcBorders>
            <w:noWrap/>
            <w:vAlign w:val="center"/>
          </w:tcPr>
          <w:p>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智能接口模块</w:t>
            </w:r>
          </w:p>
        </w:tc>
        <w:tc>
          <w:tcPr>
            <w:tcW w:w="3320" w:type="dxa"/>
            <w:tcBorders>
              <w:top w:val="nil"/>
              <w:left w:val="nil"/>
              <w:bottom w:val="single" w:color="auto" w:sz="4" w:space="0"/>
              <w:right w:val="single" w:color="auto" w:sz="4" w:space="0"/>
            </w:tcBorders>
            <w:noWrap/>
            <w:vAlign w:val="center"/>
          </w:tcPr>
          <w:p>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CTATC-XC-ZNJK-V1.0</w:t>
            </w:r>
          </w:p>
        </w:tc>
        <w:tc>
          <w:tcPr>
            <w:tcW w:w="1045" w:type="dxa"/>
            <w:tcBorders>
              <w:top w:val="nil"/>
              <w:left w:val="nil"/>
              <w:bottom w:val="single" w:color="auto" w:sz="4" w:space="0"/>
              <w:right w:val="single" w:color="auto" w:sz="4" w:space="0"/>
            </w:tcBorders>
            <w:noWrap/>
            <w:vAlign w:val="center"/>
          </w:tcPr>
          <w:p>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套</w:t>
            </w:r>
          </w:p>
        </w:tc>
        <w:tc>
          <w:tcPr>
            <w:tcW w:w="1134" w:type="dxa"/>
            <w:tcBorders>
              <w:top w:val="nil"/>
              <w:left w:val="nil"/>
              <w:bottom w:val="single" w:color="auto" w:sz="4" w:space="0"/>
              <w:right w:val="single" w:color="auto" w:sz="4" w:space="0"/>
            </w:tcBorders>
            <w:noWrap/>
            <w:vAlign w:val="center"/>
          </w:tcPr>
          <w:p>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1</w:t>
            </w:r>
          </w:p>
        </w:tc>
      </w:tr>
      <w:tr>
        <w:tblPrEx>
          <w:tblCellMar>
            <w:top w:w="0" w:type="dxa"/>
            <w:left w:w="108" w:type="dxa"/>
            <w:bottom w:w="0" w:type="dxa"/>
            <w:right w:w="108" w:type="dxa"/>
          </w:tblCellMar>
        </w:tblPrEx>
        <w:trPr>
          <w:trHeight w:val="460" w:hRule="atLeast"/>
        </w:trPr>
        <w:tc>
          <w:tcPr>
            <w:tcW w:w="704" w:type="dxa"/>
            <w:tcBorders>
              <w:top w:val="nil"/>
              <w:left w:val="single" w:color="auto" w:sz="4" w:space="0"/>
              <w:bottom w:val="single" w:color="auto" w:sz="4" w:space="0"/>
              <w:right w:val="single" w:color="auto" w:sz="4" w:space="0"/>
            </w:tcBorders>
            <w:noWrap/>
            <w:vAlign w:val="center"/>
          </w:tcPr>
          <w:p>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13</w:t>
            </w:r>
          </w:p>
        </w:tc>
        <w:tc>
          <w:tcPr>
            <w:tcW w:w="2156" w:type="dxa"/>
            <w:tcBorders>
              <w:top w:val="nil"/>
              <w:left w:val="nil"/>
              <w:bottom w:val="single" w:color="auto" w:sz="4" w:space="0"/>
              <w:right w:val="single" w:color="auto" w:sz="4" w:space="0"/>
            </w:tcBorders>
            <w:noWrap/>
            <w:vAlign w:val="center"/>
          </w:tcPr>
          <w:p>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服务器模块</w:t>
            </w:r>
          </w:p>
        </w:tc>
        <w:tc>
          <w:tcPr>
            <w:tcW w:w="3320" w:type="dxa"/>
            <w:tcBorders>
              <w:top w:val="nil"/>
              <w:left w:val="nil"/>
              <w:bottom w:val="single" w:color="auto" w:sz="4" w:space="0"/>
              <w:right w:val="single" w:color="auto" w:sz="4" w:space="0"/>
            </w:tcBorders>
            <w:vAlign w:val="center"/>
          </w:tcPr>
          <w:p>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ETH-MODBUS-IO5R</w:t>
            </w:r>
          </w:p>
        </w:tc>
        <w:tc>
          <w:tcPr>
            <w:tcW w:w="1045" w:type="dxa"/>
            <w:tcBorders>
              <w:top w:val="nil"/>
              <w:left w:val="nil"/>
              <w:bottom w:val="single" w:color="auto" w:sz="4" w:space="0"/>
              <w:right w:val="single" w:color="auto" w:sz="4" w:space="0"/>
            </w:tcBorders>
            <w:noWrap/>
            <w:vAlign w:val="center"/>
          </w:tcPr>
          <w:p>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套</w:t>
            </w:r>
          </w:p>
        </w:tc>
        <w:tc>
          <w:tcPr>
            <w:tcW w:w="1134" w:type="dxa"/>
            <w:tcBorders>
              <w:top w:val="nil"/>
              <w:left w:val="nil"/>
              <w:bottom w:val="single" w:color="auto" w:sz="4" w:space="0"/>
              <w:right w:val="single" w:color="auto" w:sz="4" w:space="0"/>
            </w:tcBorders>
            <w:noWrap/>
            <w:vAlign w:val="center"/>
          </w:tcPr>
          <w:p>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1</w:t>
            </w:r>
          </w:p>
        </w:tc>
      </w:tr>
      <w:tr>
        <w:tblPrEx>
          <w:tblCellMar>
            <w:top w:w="0" w:type="dxa"/>
            <w:left w:w="108" w:type="dxa"/>
            <w:bottom w:w="0" w:type="dxa"/>
            <w:right w:w="108" w:type="dxa"/>
          </w:tblCellMar>
        </w:tblPrEx>
        <w:trPr>
          <w:trHeight w:val="840" w:hRule="atLeast"/>
        </w:trPr>
        <w:tc>
          <w:tcPr>
            <w:tcW w:w="704" w:type="dxa"/>
            <w:tcBorders>
              <w:top w:val="nil"/>
              <w:left w:val="single" w:color="auto" w:sz="4" w:space="0"/>
              <w:bottom w:val="single" w:color="auto" w:sz="4" w:space="0"/>
              <w:right w:val="single" w:color="auto" w:sz="4" w:space="0"/>
            </w:tcBorders>
            <w:noWrap/>
            <w:vAlign w:val="center"/>
          </w:tcPr>
          <w:p>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14</w:t>
            </w:r>
          </w:p>
        </w:tc>
        <w:tc>
          <w:tcPr>
            <w:tcW w:w="2156" w:type="dxa"/>
            <w:tcBorders>
              <w:top w:val="nil"/>
              <w:left w:val="nil"/>
              <w:bottom w:val="single" w:color="auto" w:sz="4" w:space="0"/>
              <w:right w:val="single" w:color="auto" w:sz="4" w:space="0"/>
            </w:tcBorders>
            <w:noWrap/>
            <w:vAlign w:val="center"/>
          </w:tcPr>
          <w:p>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恒温箱</w:t>
            </w:r>
          </w:p>
        </w:tc>
        <w:tc>
          <w:tcPr>
            <w:tcW w:w="3320" w:type="dxa"/>
            <w:tcBorders>
              <w:top w:val="nil"/>
              <w:left w:val="nil"/>
              <w:bottom w:val="single" w:color="auto" w:sz="4" w:space="0"/>
              <w:right w:val="single" w:color="auto" w:sz="4" w:space="0"/>
            </w:tcBorders>
            <w:vAlign w:val="center"/>
          </w:tcPr>
          <w:p>
            <w:pPr>
              <w:widowControl/>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由玻璃温箱、接线端子、加热器、排风扇、固态继电器、温度传感器及变送器构成</w:t>
            </w:r>
          </w:p>
        </w:tc>
        <w:tc>
          <w:tcPr>
            <w:tcW w:w="1045" w:type="dxa"/>
            <w:tcBorders>
              <w:top w:val="nil"/>
              <w:left w:val="nil"/>
              <w:bottom w:val="single" w:color="auto" w:sz="4" w:space="0"/>
              <w:right w:val="single" w:color="auto" w:sz="4" w:space="0"/>
            </w:tcBorders>
            <w:noWrap/>
            <w:vAlign w:val="center"/>
          </w:tcPr>
          <w:p>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套</w:t>
            </w:r>
          </w:p>
        </w:tc>
        <w:tc>
          <w:tcPr>
            <w:tcW w:w="1134" w:type="dxa"/>
            <w:tcBorders>
              <w:top w:val="nil"/>
              <w:left w:val="nil"/>
              <w:bottom w:val="single" w:color="auto" w:sz="4" w:space="0"/>
              <w:right w:val="single" w:color="auto" w:sz="4" w:space="0"/>
            </w:tcBorders>
            <w:noWrap/>
            <w:vAlign w:val="center"/>
          </w:tcPr>
          <w:p>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1</w:t>
            </w:r>
          </w:p>
        </w:tc>
      </w:tr>
      <w:tr>
        <w:tblPrEx>
          <w:tblCellMar>
            <w:top w:w="0" w:type="dxa"/>
            <w:left w:w="108" w:type="dxa"/>
            <w:bottom w:w="0" w:type="dxa"/>
            <w:right w:w="108" w:type="dxa"/>
          </w:tblCellMar>
        </w:tblPrEx>
        <w:trPr>
          <w:trHeight w:val="460" w:hRule="atLeast"/>
        </w:trPr>
        <w:tc>
          <w:tcPr>
            <w:tcW w:w="704" w:type="dxa"/>
            <w:tcBorders>
              <w:top w:val="nil"/>
              <w:left w:val="single" w:color="auto" w:sz="4" w:space="0"/>
              <w:bottom w:val="single" w:color="auto" w:sz="4" w:space="0"/>
              <w:right w:val="single" w:color="auto" w:sz="4" w:space="0"/>
            </w:tcBorders>
            <w:noWrap/>
            <w:vAlign w:val="center"/>
          </w:tcPr>
          <w:p>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15</w:t>
            </w:r>
          </w:p>
        </w:tc>
        <w:tc>
          <w:tcPr>
            <w:tcW w:w="2156" w:type="dxa"/>
            <w:tcBorders>
              <w:top w:val="nil"/>
              <w:left w:val="nil"/>
              <w:bottom w:val="single" w:color="auto" w:sz="4" w:space="0"/>
              <w:right w:val="single" w:color="auto" w:sz="4" w:space="0"/>
            </w:tcBorders>
            <w:noWrap/>
            <w:vAlign w:val="center"/>
          </w:tcPr>
          <w:p>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辅助控制台</w:t>
            </w:r>
          </w:p>
        </w:tc>
        <w:tc>
          <w:tcPr>
            <w:tcW w:w="3320" w:type="dxa"/>
            <w:tcBorders>
              <w:top w:val="nil"/>
              <w:left w:val="nil"/>
              <w:bottom w:val="single" w:color="auto" w:sz="4" w:space="0"/>
              <w:right w:val="single" w:color="auto" w:sz="4" w:space="0"/>
            </w:tcBorders>
            <w:vAlign w:val="center"/>
          </w:tcPr>
          <w:p>
            <w:pPr>
              <w:widowControl/>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包括按钮、指示灯等</w:t>
            </w:r>
          </w:p>
        </w:tc>
        <w:tc>
          <w:tcPr>
            <w:tcW w:w="1045" w:type="dxa"/>
            <w:tcBorders>
              <w:top w:val="nil"/>
              <w:left w:val="nil"/>
              <w:bottom w:val="single" w:color="auto" w:sz="4" w:space="0"/>
              <w:right w:val="single" w:color="auto" w:sz="4" w:space="0"/>
            </w:tcBorders>
            <w:noWrap/>
            <w:vAlign w:val="center"/>
          </w:tcPr>
          <w:p>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套</w:t>
            </w:r>
          </w:p>
        </w:tc>
        <w:tc>
          <w:tcPr>
            <w:tcW w:w="1134" w:type="dxa"/>
            <w:tcBorders>
              <w:top w:val="nil"/>
              <w:left w:val="nil"/>
              <w:bottom w:val="single" w:color="auto" w:sz="4" w:space="0"/>
              <w:right w:val="single" w:color="auto" w:sz="4" w:space="0"/>
            </w:tcBorders>
            <w:noWrap/>
            <w:vAlign w:val="center"/>
          </w:tcPr>
          <w:p>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1</w:t>
            </w:r>
          </w:p>
        </w:tc>
      </w:tr>
      <w:tr>
        <w:tblPrEx>
          <w:tblCellMar>
            <w:top w:w="0" w:type="dxa"/>
            <w:left w:w="108" w:type="dxa"/>
            <w:bottom w:w="0" w:type="dxa"/>
            <w:right w:w="108" w:type="dxa"/>
          </w:tblCellMar>
        </w:tblPrEx>
        <w:trPr>
          <w:trHeight w:val="560" w:hRule="atLeast"/>
        </w:trPr>
        <w:tc>
          <w:tcPr>
            <w:tcW w:w="704" w:type="dxa"/>
            <w:tcBorders>
              <w:top w:val="nil"/>
              <w:left w:val="single" w:color="auto" w:sz="4" w:space="0"/>
              <w:bottom w:val="single" w:color="auto" w:sz="4" w:space="0"/>
              <w:right w:val="single" w:color="auto" w:sz="4" w:space="0"/>
            </w:tcBorders>
            <w:noWrap/>
            <w:vAlign w:val="center"/>
          </w:tcPr>
          <w:p>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16</w:t>
            </w:r>
          </w:p>
        </w:tc>
        <w:tc>
          <w:tcPr>
            <w:tcW w:w="2156" w:type="dxa"/>
            <w:tcBorders>
              <w:top w:val="nil"/>
              <w:left w:val="nil"/>
              <w:bottom w:val="single" w:color="auto" w:sz="4" w:space="0"/>
              <w:right w:val="single" w:color="auto" w:sz="4" w:space="0"/>
            </w:tcBorders>
            <w:noWrap/>
            <w:vAlign w:val="center"/>
          </w:tcPr>
          <w:p>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供料模块</w:t>
            </w:r>
          </w:p>
        </w:tc>
        <w:tc>
          <w:tcPr>
            <w:tcW w:w="3320" w:type="dxa"/>
            <w:tcBorders>
              <w:top w:val="nil"/>
              <w:left w:val="nil"/>
              <w:bottom w:val="single" w:color="auto" w:sz="4" w:space="0"/>
              <w:right w:val="single" w:color="auto" w:sz="4" w:space="0"/>
            </w:tcBorders>
            <w:vAlign w:val="center"/>
          </w:tcPr>
          <w:p>
            <w:pPr>
              <w:widowControl/>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包括供料井、检测传感器、限位传感器、气缸等</w:t>
            </w:r>
          </w:p>
        </w:tc>
        <w:tc>
          <w:tcPr>
            <w:tcW w:w="1045" w:type="dxa"/>
            <w:tcBorders>
              <w:top w:val="nil"/>
              <w:left w:val="nil"/>
              <w:bottom w:val="single" w:color="auto" w:sz="4" w:space="0"/>
              <w:right w:val="single" w:color="auto" w:sz="4" w:space="0"/>
            </w:tcBorders>
            <w:noWrap/>
            <w:vAlign w:val="center"/>
          </w:tcPr>
          <w:p>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套</w:t>
            </w:r>
          </w:p>
        </w:tc>
        <w:tc>
          <w:tcPr>
            <w:tcW w:w="1134" w:type="dxa"/>
            <w:tcBorders>
              <w:top w:val="nil"/>
              <w:left w:val="nil"/>
              <w:bottom w:val="single" w:color="auto" w:sz="4" w:space="0"/>
              <w:right w:val="single" w:color="auto" w:sz="4" w:space="0"/>
            </w:tcBorders>
            <w:noWrap/>
            <w:vAlign w:val="center"/>
          </w:tcPr>
          <w:p>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1</w:t>
            </w:r>
          </w:p>
        </w:tc>
      </w:tr>
      <w:tr>
        <w:tblPrEx>
          <w:tblCellMar>
            <w:top w:w="0" w:type="dxa"/>
            <w:left w:w="108" w:type="dxa"/>
            <w:bottom w:w="0" w:type="dxa"/>
            <w:right w:w="108" w:type="dxa"/>
          </w:tblCellMar>
        </w:tblPrEx>
        <w:trPr>
          <w:trHeight w:val="1120" w:hRule="atLeast"/>
        </w:trPr>
        <w:tc>
          <w:tcPr>
            <w:tcW w:w="704" w:type="dxa"/>
            <w:tcBorders>
              <w:top w:val="nil"/>
              <w:left w:val="single" w:color="auto" w:sz="4" w:space="0"/>
              <w:bottom w:val="single" w:color="auto" w:sz="4" w:space="0"/>
              <w:right w:val="single" w:color="auto" w:sz="4" w:space="0"/>
            </w:tcBorders>
            <w:noWrap/>
            <w:vAlign w:val="center"/>
          </w:tcPr>
          <w:p>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17</w:t>
            </w:r>
          </w:p>
        </w:tc>
        <w:tc>
          <w:tcPr>
            <w:tcW w:w="2156" w:type="dxa"/>
            <w:tcBorders>
              <w:top w:val="nil"/>
              <w:left w:val="nil"/>
              <w:bottom w:val="single" w:color="auto" w:sz="4" w:space="0"/>
              <w:right w:val="single" w:color="auto" w:sz="4" w:space="0"/>
            </w:tcBorders>
            <w:noWrap/>
            <w:vAlign w:val="center"/>
          </w:tcPr>
          <w:p>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传送带模块</w:t>
            </w:r>
          </w:p>
        </w:tc>
        <w:tc>
          <w:tcPr>
            <w:tcW w:w="3320" w:type="dxa"/>
            <w:tcBorders>
              <w:top w:val="nil"/>
              <w:left w:val="nil"/>
              <w:bottom w:val="single" w:color="auto" w:sz="4" w:space="0"/>
              <w:right w:val="single" w:color="auto" w:sz="4" w:space="0"/>
            </w:tcBorders>
            <w:vAlign w:val="center"/>
          </w:tcPr>
          <w:p>
            <w:pPr>
              <w:widowControl/>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包括自动调心轴承、同步齿型带、1个旋转编码器及支架、1个颜色传感器及支架、1个电感传感器及支架、1个电容传感器及支架、铝型材、分拣气缸、斜槽等</w:t>
            </w:r>
          </w:p>
        </w:tc>
        <w:tc>
          <w:tcPr>
            <w:tcW w:w="1045" w:type="dxa"/>
            <w:tcBorders>
              <w:top w:val="nil"/>
              <w:left w:val="nil"/>
              <w:bottom w:val="single" w:color="auto" w:sz="4" w:space="0"/>
              <w:right w:val="single" w:color="auto" w:sz="4" w:space="0"/>
            </w:tcBorders>
            <w:noWrap/>
            <w:vAlign w:val="center"/>
          </w:tcPr>
          <w:p>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套</w:t>
            </w:r>
          </w:p>
        </w:tc>
        <w:tc>
          <w:tcPr>
            <w:tcW w:w="1134" w:type="dxa"/>
            <w:tcBorders>
              <w:top w:val="nil"/>
              <w:left w:val="nil"/>
              <w:bottom w:val="single" w:color="auto" w:sz="4" w:space="0"/>
              <w:right w:val="single" w:color="auto" w:sz="4" w:space="0"/>
            </w:tcBorders>
            <w:noWrap/>
            <w:vAlign w:val="center"/>
          </w:tcPr>
          <w:p>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1</w:t>
            </w:r>
          </w:p>
        </w:tc>
      </w:tr>
      <w:tr>
        <w:tblPrEx>
          <w:tblCellMar>
            <w:top w:w="0" w:type="dxa"/>
            <w:left w:w="108" w:type="dxa"/>
            <w:bottom w:w="0" w:type="dxa"/>
            <w:right w:w="108" w:type="dxa"/>
          </w:tblCellMar>
        </w:tblPrEx>
        <w:trPr>
          <w:trHeight w:val="460" w:hRule="atLeast"/>
        </w:trPr>
        <w:tc>
          <w:tcPr>
            <w:tcW w:w="704" w:type="dxa"/>
            <w:tcBorders>
              <w:top w:val="nil"/>
              <w:left w:val="single" w:color="auto" w:sz="4" w:space="0"/>
              <w:bottom w:val="single" w:color="auto" w:sz="4" w:space="0"/>
              <w:right w:val="single" w:color="auto" w:sz="4" w:space="0"/>
            </w:tcBorders>
            <w:noWrap/>
            <w:vAlign w:val="center"/>
          </w:tcPr>
          <w:p>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18</w:t>
            </w:r>
          </w:p>
        </w:tc>
        <w:tc>
          <w:tcPr>
            <w:tcW w:w="2156" w:type="dxa"/>
            <w:tcBorders>
              <w:top w:val="nil"/>
              <w:left w:val="nil"/>
              <w:bottom w:val="single" w:color="auto" w:sz="4" w:space="0"/>
              <w:right w:val="single" w:color="auto" w:sz="4" w:space="0"/>
            </w:tcBorders>
            <w:noWrap/>
            <w:vAlign w:val="center"/>
          </w:tcPr>
          <w:p>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立体库单元</w:t>
            </w:r>
          </w:p>
        </w:tc>
        <w:tc>
          <w:tcPr>
            <w:tcW w:w="3320" w:type="dxa"/>
            <w:tcBorders>
              <w:top w:val="nil"/>
              <w:left w:val="nil"/>
              <w:bottom w:val="single" w:color="auto" w:sz="4" w:space="0"/>
              <w:right w:val="single" w:color="auto" w:sz="4" w:space="0"/>
            </w:tcBorders>
            <w:vAlign w:val="center"/>
          </w:tcPr>
          <w:p>
            <w:pPr>
              <w:widowControl/>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15库位</w:t>
            </w:r>
          </w:p>
        </w:tc>
        <w:tc>
          <w:tcPr>
            <w:tcW w:w="1045" w:type="dxa"/>
            <w:tcBorders>
              <w:top w:val="nil"/>
              <w:left w:val="nil"/>
              <w:bottom w:val="single" w:color="auto" w:sz="4" w:space="0"/>
              <w:right w:val="single" w:color="auto" w:sz="4" w:space="0"/>
            </w:tcBorders>
            <w:noWrap/>
            <w:vAlign w:val="center"/>
          </w:tcPr>
          <w:p>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套</w:t>
            </w:r>
          </w:p>
        </w:tc>
        <w:tc>
          <w:tcPr>
            <w:tcW w:w="1134" w:type="dxa"/>
            <w:tcBorders>
              <w:top w:val="nil"/>
              <w:left w:val="nil"/>
              <w:bottom w:val="single" w:color="auto" w:sz="4" w:space="0"/>
              <w:right w:val="single" w:color="auto" w:sz="4" w:space="0"/>
            </w:tcBorders>
            <w:noWrap/>
            <w:vAlign w:val="center"/>
          </w:tcPr>
          <w:p>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1</w:t>
            </w:r>
          </w:p>
        </w:tc>
      </w:tr>
      <w:tr>
        <w:tblPrEx>
          <w:tblCellMar>
            <w:top w:w="0" w:type="dxa"/>
            <w:left w:w="108" w:type="dxa"/>
            <w:bottom w:w="0" w:type="dxa"/>
            <w:right w:w="108" w:type="dxa"/>
          </w:tblCellMar>
        </w:tblPrEx>
        <w:trPr>
          <w:trHeight w:val="460" w:hRule="atLeast"/>
        </w:trPr>
        <w:tc>
          <w:tcPr>
            <w:tcW w:w="704" w:type="dxa"/>
            <w:tcBorders>
              <w:top w:val="nil"/>
              <w:left w:val="single" w:color="auto" w:sz="4" w:space="0"/>
              <w:bottom w:val="single" w:color="auto" w:sz="4" w:space="0"/>
              <w:right w:val="single" w:color="auto" w:sz="4" w:space="0"/>
            </w:tcBorders>
            <w:noWrap/>
            <w:vAlign w:val="center"/>
          </w:tcPr>
          <w:p>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19</w:t>
            </w:r>
          </w:p>
        </w:tc>
        <w:tc>
          <w:tcPr>
            <w:tcW w:w="2156" w:type="dxa"/>
            <w:tcBorders>
              <w:top w:val="nil"/>
              <w:left w:val="nil"/>
              <w:bottom w:val="single" w:color="auto" w:sz="4" w:space="0"/>
              <w:right w:val="single" w:color="auto" w:sz="4" w:space="0"/>
            </w:tcBorders>
            <w:noWrap/>
            <w:vAlign w:val="center"/>
          </w:tcPr>
          <w:p>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显示器</w:t>
            </w:r>
          </w:p>
        </w:tc>
        <w:tc>
          <w:tcPr>
            <w:tcW w:w="3320" w:type="dxa"/>
            <w:tcBorders>
              <w:top w:val="nil"/>
              <w:left w:val="nil"/>
              <w:bottom w:val="single" w:color="auto" w:sz="4" w:space="0"/>
              <w:right w:val="single" w:color="auto" w:sz="4" w:space="0"/>
            </w:tcBorders>
            <w:vAlign w:val="center"/>
          </w:tcPr>
          <w:p>
            <w:pPr>
              <w:widowControl/>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包括显示器、支架等</w:t>
            </w:r>
          </w:p>
        </w:tc>
        <w:tc>
          <w:tcPr>
            <w:tcW w:w="1045" w:type="dxa"/>
            <w:tcBorders>
              <w:top w:val="nil"/>
              <w:left w:val="nil"/>
              <w:bottom w:val="single" w:color="auto" w:sz="4" w:space="0"/>
              <w:right w:val="single" w:color="auto" w:sz="4" w:space="0"/>
            </w:tcBorders>
            <w:noWrap/>
            <w:vAlign w:val="center"/>
          </w:tcPr>
          <w:p>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套</w:t>
            </w:r>
          </w:p>
        </w:tc>
        <w:tc>
          <w:tcPr>
            <w:tcW w:w="1134" w:type="dxa"/>
            <w:tcBorders>
              <w:top w:val="nil"/>
              <w:left w:val="nil"/>
              <w:bottom w:val="single" w:color="auto" w:sz="4" w:space="0"/>
              <w:right w:val="single" w:color="auto" w:sz="4" w:space="0"/>
            </w:tcBorders>
            <w:noWrap/>
            <w:vAlign w:val="center"/>
          </w:tcPr>
          <w:p>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1</w:t>
            </w:r>
          </w:p>
        </w:tc>
      </w:tr>
      <w:tr>
        <w:tblPrEx>
          <w:tblCellMar>
            <w:top w:w="0" w:type="dxa"/>
            <w:left w:w="108" w:type="dxa"/>
            <w:bottom w:w="0" w:type="dxa"/>
            <w:right w:w="108" w:type="dxa"/>
          </w:tblCellMar>
        </w:tblPrEx>
        <w:trPr>
          <w:trHeight w:val="840" w:hRule="atLeast"/>
        </w:trPr>
        <w:tc>
          <w:tcPr>
            <w:tcW w:w="704" w:type="dxa"/>
            <w:tcBorders>
              <w:top w:val="nil"/>
              <w:left w:val="single" w:color="auto" w:sz="4" w:space="0"/>
              <w:bottom w:val="single" w:color="auto" w:sz="4" w:space="0"/>
              <w:right w:val="single" w:color="auto" w:sz="4" w:space="0"/>
            </w:tcBorders>
            <w:noWrap/>
            <w:vAlign w:val="center"/>
          </w:tcPr>
          <w:p>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20</w:t>
            </w:r>
          </w:p>
        </w:tc>
        <w:tc>
          <w:tcPr>
            <w:tcW w:w="2156" w:type="dxa"/>
            <w:tcBorders>
              <w:top w:val="nil"/>
              <w:left w:val="nil"/>
              <w:bottom w:val="single" w:color="auto" w:sz="4" w:space="0"/>
              <w:right w:val="single" w:color="auto" w:sz="4" w:space="0"/>
            </w:tcBorders>
            <w:noWrap/>
            <w:vAlign w:val="center"/>
          </w:tcPr>
          <w:p>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物联感知模块</w:t>
            </w:r>
          </w:p>
        </w:tc>
        <w:tc>
          <w:tcPr>
            <w:tcW w:w="3320" w:type="dxa"/>
            <w:tcBorders>
              <w:top w:val="nil"/>
              <w:left w:val="nil"/>
              <w:bottom w:val="single" w:color="auto" w:sz="4" w:space="0"/>
              <w:right w:val="single" w:color="auto" w:sz="4" w:space="0"/>
            </w:tcBorders>
            <w:vAlign w:val="center"/>
          </w:tcPr>
          <w:p>
            <w:pPr>
              <w:widowControl/>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包括烟雾报警传感器、十合一传感器、、电扇、照明灯、三色报警灯等组成</w:t>
            </w:r>
          </w:p>
        </w:tc>
        <w:tc>
          <w:tcPr>
            <w:tcW w:w="1045" w:type="dxa"/>
            <w:tcBorders>
              <w:top w:val="nil"/>
              <w:left w:val="nil"/>
              <w:bottom w:val="single" w:color="auto" w:sz="4" w:space="0"/>
              <w:right w:val="single" w:color="auto" w:sz="4" w:space="0"/>
            </w:tcBorders>
            <w:noWrap/>
            <w:vAlign w:val="center"/>
          </w:tcPr>
          <w:p>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套</w:t>
            </w:r>
          </w:p>
        </w:tc>
        <w:tc>
          <w:tcPr>
            <w:tcW w:w="1134" w:type="dxa"/>
            <w:tcBorders>
              <w:top w:val="nil"/>
              <w:left w:val="nil"/>
              <w:bottom w:val="single" w:color="auto" w:sz="4" w:space="0"/>
              <w:right w:val="single" w:color="auto" w:sz="4" w:space="0"/>
            </w:tcBorders>
            <w:noWrap/>
            <w:vAlign w:val="center"/>
          </w:tcPr>
          <w:p>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1</w:t>
            </w:r>
          </w:p>
        </w:tc>
      </w:tr>
      <w:tr>
        <w:tblPrEx>
          <w:tblCellMar>
            <w:top w:w="0" w:type="dxa"/>
            <w:left w:w="108" w:type="dxa"/>
            <w:bottom w:w="0" w:type="dxa"/>
            <w:right w:w="108" w:type="dxa"/>
          </w:tblCellMar>
        </w:tblPrEx>
        <w:trPr>
          <w:trHeight w:val="460" w:hRule="atLeast"/>
        </w:trPr>
        <w:tc>
          <w:tcPr>
            <w:tcW w:w="704"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21</w:t>
            </w:r>
          </w:p>
        </w:tc>
        <w:tc>
          <w:tcPr>
            <w:tcW w:w="2156" w:type="dxa"/>
            <w:tcBorders>
              <w:top w:val="single" w:color="auto" w:sz="4" w:space="0"/>
              <w:left w:val="nil"/>
              <w:bottom w:val="single" w:color="auto" w:sz="4" w:space="0"/>
              <w:right w:val="single" w:color="auto" w:sz="4" w:space="0"/>
            </w:tcBorders>
            <w:noWrap/>
            <w:vAlign w:val="center"/>
          </w:tcPr>
          <w:p>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物料</w:t>
            </w:r>
          </w:p>
        </w:tc>
        <w:tc>
          <w:tcPr>
            <w:tcW w:w="3320" w:type="dxa"/>
            <w:tcBorders>
              <w:top w:val="single" w:color="auto" w:sz="4" w:space="0"/>
              <w:left w:val="nil"/>
              <w:bottom w:val="single" w:color="auto" w:sz="4" w:space="0"/>
              <w:right w:val="single" w:color="auto" w:sz="4" w:space="0"/>
            </w:tcBorders>
            <w:noWrap/>
            <w:vAlign w:val="center"/>
          </w:tcPr>
          <w:p>
            <w:pPr>
              <w:rPr>
                <w:rFonts w:hint="eastAsia" w:ascii="等线" w:hAnsi="等线" w:eastAsia="等线" w:cs="宋体"/>
                <w:color w:val="000000"/>
                <w:kern w:val="0"/>
                <w:sz w:val="22"/>
                <w:szCs w:val="22"/>
              </w:rPr>
            </w:pPr>
          </w:p>
        </w:tc>
        <w:tc>
          <w:tcPr>
            <w:tcW w:w="1045" w:type="dxa"/>
            <w:tcBorders>
              <w:top w:val="single" w:color="auto" w:sz="4" w:space="0"/>
              <w:left w:val="nil"/>
              <w:bottom w:val="single" w:color="auto" w:sz="4" w:space="0"/>
              <w:right w:val="single" w:color="auto" w:sz="4" w:space="0"/>
            </w:tcBorders>
            <w:noWrap/>
            <w:vAlign w:val="center"/>
          </w:tcPr>
          <w:p>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套</w:t>
            </w:r>
          </w:p>
        </w:tc>
        <w:tc>
          <w:tcPr>
            <w:tcW w:w="1134" w:type="dxa"/>
            <w:tcBorders>
              <w:top w:val="single" w:color="auto" w:sz="4" w:space="0"/>
              <w:left w:val="nil"/>
              <w:bottom w:val="single" w:color="auto" w:sz="4" w:space="0"/>
              <w:right w:val="single" w:color="auto" w:sz="4" w:space="0"/>
            </w:tcBorders>
            <w:noWrap/>
            <w:vAlign w:val="center"/>
          </w:tcPr>
          <w:p>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1</w:t>
            </w:r>
          </w:p>
        </w:tc>
      </w:tr>
      <w:tr>
        <w:tblPrEx>
          <w:tblCellMar>
            <w:top w:w="0" w:type="dxa"/>
            <w:left w:w="108" w:type="dxa"/>
            <w:bottom w:w="0" w:type="dxa"/>
            <w:right w:w="108" w:type="dxa"/>
          </w:tblCellMar>
        </w:tblPrEx>
        <w:trPr>
          <w:trHeight w:val="460" w:hRule="atLeast"/>
        </w:trPr>
        <w:tc>
          <w:tcPr>
            <w:tcW w:w="704"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22</w:t>
            </w:r>
          </w:p>
        </w:tc>
        <w:tc>
          <w:tcPr>
            <w:tcW w:w="2156" w:type="dxa"/>
            <w:tcBorders>
              <w:top w:val="single" w:color="auto" w:sz="4" w:space="0"/>
              <w:left w:val="nil"/>
              <w:bottom w:val="single" w:color="auto" w:sz="4" w:space="0"/>
              <w:right w:val="single" w:color="auto" w:sz="4" w:space="0"/>
            </w:tcBorders>
            <w:noWrap/>
            <w:vAlign w:val="center"/>
          </w:tcPr>
          <w:p>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计算机</w:t>
            </w:r>
          </w:p>
        </w:tc>
        <w:tc>
          <w:tcPr>
            <w:tcW w:w="3320" w:type="dxa"/>
            <w:tcBorders>
              <w:top w:val="single" w:color="auto" w:sz="4" w:space="0"/>
              <w:left w:val="nil"/>
              <w:bottom w:val="single" w:color="auto" w:sz="4" w:space="0"/>
              <w:right w:val="single" w:color="auto" w:sz="4" w:space="0"/>
            </w:tcBorders>
            <w:noWrap/>
            <w:vAlign w:val="center"/>
          </w:tcPr>
          <w:p>
            <w:pPr>
              <w:widowControl/>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含显示器，键鼠套装</w:t>
            </w:r>
          </w:p>
        </w:tc>
        <w:tc>
          <w:tcPr>
            <w:tcW w:w="1045" w:type="dxa"/>
            <w:tcBorders>
              <w:top w:val="single" w:color="auto" w:sz="4" w:space="0"/>
              <w:left w:val="nil"/>
              <w:bottom w:val="single" w:color="auto" w:sz="4" w:space="0"/>
              <w:right w:val="single" w:color="auto" w:sz="4" w:space="0"/>
            </w:tcBorders>
            <w:noWrap/>
            <w:vAlign w:val="center"/>
          </w:tcPr>
          <w:p>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套</w:t>
            </w:r>
          </w:p>
        </w:tc>
        <w:tc>
          <w:tcPr>
            <w:tcW w:w="1134" w:type="dxa"/>
            <w:tcBorders>
              <w:top w:val="single" w:color="auto" w:sz="4" w:space="0"/>
              <w:left w:val="nil"/>
              <w:bottom w:val="single" w:color="auto" w:sz="4" w:space="0"/>
              <w:right w:val="single" w:color="auto" w:sz="4" w:space="0"/>
            </w:tcBorders>
            <w:noWrap/>
            <w:vAlign w:val="center"/>
          </w:tcPr>
          <w:p>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1</w:t>
            </w:r>
          </w:p>
        </w:tc>
      </w:tr>
      <w:tr>
        <w:tblPrEx>
          <w:tblCellMar>
            <w:top w:w="0" w:type="dxa"/>
            <w:left w:w="108" w:type="dxa"/>
            <w:bottom w:w="0" w:type="dxa"/>
            <w:right w:w="108" w:type="dxa"/>
          </w:tblCellMar>
        </w:tblPrEx>
        <w:trPr>
          <w:trHeight w:val="460" w:hRule="atLeast"/>
        </w:trPr>
        <w:tc>
          <w:tcPr>
            <w:tcW w:w="704"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23</w:t>
            </w:r>
          </w:p>
        </w:tc>
        <w:tc>
          <w:tcPr>
            <w:tcW w:w="2156" w:type="dxa"/>
            <w:tcBorders>
              <w:top w:val="single" w:color="auto" w:sz="4" w:space="0"/>
              <w:left w:val="nil"/>
              <w:bottom w:val="single" w:color="auto" w:sz="4" w:space="0"/>
              <w:right w:val="single" w:color="auto" w:sz="4" w:space="0"/>
            </w:tcBorders>
            <w:noWrap/>
            <w:vAlign w:val="center"/>
          </w:tcPr>
          <w:p>
            <w:pPr>
              <w:widowControl/>
              <w:rPr>
                <w:rFonts w:hint="eastAsia" w:ascii="等线" w:hAnsi="等线" w:eastAsia="等线" w:cs="宋体"/>
                <w:color w:val="000000"/>
                <w:kern w:val="0"/>
                <w:sz w:val="22"/>
                <w:szCs w:val="22"/>
              </w:rPr>
            </w:pPr>
            <w:bookmarkStart w:id="24" w:name="OLE_LINK23"/>
            <w:r>
              <w:rPr>
                <w:rFonts w:hint="eastAsia" w:ascii="等线" w:hAnsi="等线" w:eastAsia="等线" w:cs="宋体"/>
                <w:color w:val="000000"/>
                <w:kern w:val="0"/>
                <w:sz w:val="22"/>
                <w:szCs w:val="22"/>
              </w:rPr>
              <w:t>编程软件</w:t>
            </w:r>
            <w:bookmarkEnd w:id="24"/>
            <w:r>
              <w:rPr>
                <w:rFonts w:hint="eastAsia" w:ascii="等线" w:hAnsi="等线" w:eastAsia="等线" w:cs="宋体"/>
                <w:color w:val="000000"/>
                <w:kern w:val="0"/>
                <w:sz w:val="22"/>
                <w:szCs w:val="22"/>
              </w:rPr>
              <w:t>：PyCharm</w:t>
            </w:r>
          </w:p>
        </w:tc>
        <w:tc>
          <w:tcPr>
            <w:tcW w:w="3320" w:type="dxa"/>
            <w:tcBorders>
              <w:top w:val="single" w:color="auto" w:sz="4" w:space="0"/>
              <w:left w:val="nil"/>
              <w:bottom w:val="single" w:color="auto" w:sz="4" w:space="0"/>
              <w:right w:val="single" w:color="auto" w:sz="4" w:space="0"/>
            </w:tcBorders>
            <w:noWrap/>
            <w:vAlign w:val="center"/>
          </w:tcPr>
          <w:p>
            <w:pPr>
              <w:widowControl/>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开发语言：python，版本号：2023</w:t>
            </w:r>
          </w:p>
        </w:tc>
        <w:tc>
          <w:tcPr>
            <w:tcW w:w="1045" w:type="dxa"/>
            <w:tcBorders>
              <w:top w:val="single" w:color="auto" w:sz="4" w:space="0"/>
              <w:left w:val="nil"/>
              <w:bottom w:val="single" w:color="auto" w:sz="4" w:space="0"/>
              <w:right w:val="single" w:color="auto" w:sz="4" w:space="0"/>
            </w:tcBorders>
            <w:noWrap/>
            <w:vAlign w:val="center"/>
          </w:tcPr>
          <w:p>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套</w:t>
            </w:r>
          </w:p>
        </w:tc>
        <w:tc>
          <w:tcPr>
            <w:tcW w:w="1134" w:type="dxa"/>
            <w:tcBorders>
              <w:top w:val="single" w:color="auto" w:sz="4" w:space="0"/>
              <w:left w:val="nil"/>
              <w:bottom w:val="single" w:color="auto" w:sz="4" w:space="0"/>
              <w:right w:val="single" w:color="auto" w:sz="4" w:space="0"/>
            </w:tcBorders>
            <w:noWrap/>
            <w:vAlign w:val="center"/>
          </w:tcPr>
          <w:p>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1</w:t>
            </w:r>
          </w:p>
        </w:tc>
      </w:tr>
    </w:tbl>
    <w:p>
      <w:pPr>
        <w:spacing w:line="360" w:lineRule="auto"/>
        <w:ind w:firstLine="480" w:firstLineChars="200"/>
        <w:rPr>
          <w:rFonts w:hint="eastAsia" w:ascii="Noto Sans Mono CJK JP Regular" w:hAnsi="Noto Sans Mono CJK JP Regular" w:eastAsia="华文细黑" w:cs="Noto Sans Mono CJK JP Regular"/>
          <w:kern w:val="0"/>
          <w:sz w:val="24"/>
          <w:szCs w:val="22"/>
          <w:lang w:val="zh-CN"/>
        </w:rPr>
      </w:pPr>
      <w:r>
        <w:rPr>
          <w:rFonts w:hint="eastAsia" w:ascii="Noto Sans Mono CJK JP Regular" w:hAnsi="Noto Sans Mono CJK JP Regular" w:eastAsia="华文细黑" w:cs="Noto Sans Mono CJK JP Regular"/>
          <w:kern w:val="0"/>
          <w:sz w:val="24"/>
          <w:szCs w:val="22"/>
          <w:lang w:val="zh-CN"/>
        </w:rPr>
        <w:t>4. 竞赛材料及辅助设施见表3。</w:t>
      </w:r>
    </w:p>
    <w:p>
      <w:pPr>
        <w:spacing w:line="360" w:lineRule="auto"/>
        <w:jc w:val="center"/>
        <w:rPr>
          <w:rFonts w:ascii="Calibri" w:hAnsi="Calibri" w:eastAsia="华文细黑"/>
          <w:sz w:val="24"/>
          <w:lang w:val="zh-CN"/>
        </w:rPr>
      </w:pPr>
      <w:r>
        <w:rPr>
          <w:rFonts w:hint="eastAsia" w:ascii="Calibri" w:hAnsi="Calibri" w:eastAsia="华文细黑"/>
          <w:sz w:val="24"/>
          <w:lang w:val="zh-CN"/>
        </w:rPr>
        <w:t xml:space="preserve">表3.  </w:t>
      </w:r>
      <w:r>
        <w:rPr>
          <w:rFonts w:hint="eastAsia" w:ascii="Noto Sans Mono CJK JP Regular" w:hAnsi="Noto Sans Mono CJK JP Regular" w:eastAsia="华文细黑" w:cs="Noto Sans Mono CJK JP Regular"/>
          <w:kern w:val="0"/>
          <w:sz w:val="24"/>
          <w:szCs w:val="22"/>
          <w:lang w:val="zh-CN"/>
        </w:rPr>
        <w:t>竞赛材料及辅助设施表</w:t>
      </w:r>
    </w:p>
    <w:tbl>
      <w:tblPr>
        <w:tblStyle w:val="12"/>
        <w:tblW w:w="8359" w:type="dxa"/>
        <w:tblInd w:w="0" w:type="dxa"/>
        <w:tblLayout w:type="autofit"/>
        <w:tblCellMar>
          <w:top w:w="0" w:type="dxa"/>
          <w:left w:w="108" w:type="dxa"/>
          <w:bottom w:w="0" w:type="dxa"/>
          <w:right w:w="108" w:type="dxa"/>
        </w:tblCellMar>
      </w:tblPr>
      <w:tblGrid>
        <w:gridCol w:w="704"/>
        <w:gridCol w:w="2156"/>
        <w:gridCol w:w="3320"/>
        <w:gridCol w:w="1045"/>
        <w:gridCol w:w="1134"/>
      </w:tblGrid>
      <w:tr>
        <w:tblPrEx>
          <w:tblCellMar>
            <w:top w:w="0" w:type="dxa"/>
            <w:left w:w="108" w:type="dxa"/>
            <w:bottom w:w="0" w:type="dxa"/>
            <w:right w:w="108" w:type="dxa"/>
          </w:tblCellMar>
        </w:tblPrEx>
        <w:trPr>
          <w:trHeight w:val="380" w:hRule="atLeast"/>
        </w:trPr>
        <w:tc>
          <w:tcPr>
            <w:tcW w:w="704"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序号</w:t>
            </w:r>
          </w:p>
        </w:tc>
        <w:tc>
          <w:tcPr>
            <w:tcW w:w="2156" w:type="dxa"/>
            <w:tcBorders>
              <w:top w:val="single" w:color="auto" w:sz="4" w:space="0"/>
              <w:left w:val="nil"/>
              <w:bottom w:val="single" w:color="auto" w:sz="4" w:space="0"/>
              <w:right w:val="single" w:color="auto" w:sz="4" w:space="0"/>
            </w:tcBorders>
            <w:noWrap/>
            <w:vAlign w:val="center"/>
          </w:tcPr>
          <w:p>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名称</w:t>
            </w:r>
          </w:p>
        </w:tc>
        <w:tc>
          <w:tcPr>
            <w:tcW w:w="3320" w:type="dxa"/>
            <w:tcBorders>
              <w:top w:val="single" w:color="auto" w:sz="4" w:space="0"/>
              <w:left w:val="nil"/>
              <w:bottom w:val="single" w:color="auto" w:sz="4" w:space="0"/>
              <w:right w:val="single" w:color="auto" w:sz="4" w:space="0"/>
            </w:tcBorders>
            <w:noWrap/>
            <w:vAlign w:val="center"/>
          </w:tcPr>
          <w:p>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规格/型号</w:t>
            </w:r>
          </w:p>
        </w:tc>
        <w:tc>
          <w:tcPr>
            <w:tcW w:w="1045" w:type="dxa"/>
            <w:tcBorders>
              <w:top w:val="single" w:color="auto" w:sz="4" w:space="0"/>
              <w:left w:val="nil"/>
              <w:bottom w:val="single" w:color="auto" w:sz="4" w:space="0"/>
              <w:right w:val="single" w:color="auto" w:sz="4" w:space="0"/>
            </w:tcBorders>
            <w:noWrap/>
            <w:vAlign w:val="center"/>
          </w:tcPr>
          <w:p>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单位</w:t>
            </w:r>
          </w:p>
        </w:tc>
        <w:tc>
          <w:tcPr>
            <w:tcW w:w="1134" w:type="dxa"/>
            <w:tcBorders>
              <w:top w:val="single" w:color="auto" w:sz="4" w:space="0"/>
              <w:left w:val="nil"/>
              <w:bottom w:val="single" w:color="auto" w:sz="4" w:space="0"/>
              <w:right w:val="single" w:color="auto" w:sz="4" w:space="0"/>
            </w:tcBorders>
            <w:noWrap/>
            <w:vAlign w:val="center"/>
          </w:tcPr>
          <w:p>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数量</w:t>
            </w:r>
          </w:p>
        </w:tc>
      </w:tr>
      <w:tr>
        <w:tblPrEx>
          <w:tblCellMar>
            <w:top w:w="0" w:type="dxa"/>
            <w:left w:w="108" w:type="dxa"/>
            <w:bottom w:w="0" w:type="dxa"/>
            <w:right w:w="108" w:type="dxa"/>
          </w:tblCellMar>
        </w:tblPrEx>
        <w:trPr>
          <w:trHeight w:val="460" w:hRule="atLeast"/>
        </w:trPr>
        <w:tc>
          <w:tcPr>
            <w:tcW w:w="704" w:type="dxa"/>
            <w:tcBorders>
              <w:top w:val="nil"/>
              <w:left w:val="single" w:color="auto" w:sz="4" w:space="0"/>
              <w:bottom w:val="single" w:color="auto" w:sz="4" w:space="0"/>
              <w:right w:val="single" w:color="auto" w:sz="4" w:space="0"/>
            </w:tcBorders>
            <w:noWrap/>
            <w:vAlign w:val="center"/>
          </w:tcPr>
          <w:p>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1</w:t>
            </w:r>
          </w:p>
        </w:tc>
        <w:tc>
          <w:tcPr>
            <w:tcW w:w="2156" w:type="dxa"/>
            <w:tcBorders>
              <w:top w:val="nil"/>
              <w:left w:val="nil"/>
              <w:bottom w:val="single" w:color="auto" w:sz="4" w:space="0"/>
              <w:right w:val="single" w:color="auto" w:sz="4" w:space="0"/>
            </w:tcBorders>
            <w:noWrap/>
            <w:vAlign w:val="center"/>
          </w:tcPr>
          <w:p>
            <w:pPr>
              <w:pStyle w:val="4"/>
              <w:rPr>
                <w:rFonts w:hint="eastAsia" w:ascii="Noto Sans Mono CJK JP Regular" w:hAnsi="Noto Sans Mono CJK JP Regular" w:eastAsia="华文细黑" w:cs="Noto Sans Mono CJK JP Regular"/>
                <w:kern w:val="0"/>
                <w:szCs w:val="21"/>
                <w:lang w:val="zh-CN"/>
              </w:rPr>
            </w:pPr>
            <w:r>
              <w:rPr>
                <w:rFonts w:hint="eastAsia" w:ascii="Noto Sans Mono CJK JP Regular" w:hAnsi="Noto Sans Mono CJK JP Regular" w:eastAsia="华文细黑" w:cs="Noto Sans Mono CJK JP Regular"/>
                <w:kern w:val="0"/>
                <w:szCs w:val="21"/>
                <w:lang w:val="zh-CN"/>
              </w:rPr>
              <w:t>工作台</w:t>
            </w:r>
          </w:p>
        </w:tc>
        <w:tc>
          <w:tcPr>
            <w:tcW w:w="3320" w:type="dxa"/>
            <w:tcBorders>
              <w:top w:val="nil"/>
              <w:left w:val="nil"/>
              <w:bottom w:val="single" w:color="auto" w:sz="4" w:space="0"/>
              <w:right w:val="single" w:color="auto" w:sz="4" w:space="0"/>
            </w:tcBorders>
            <w:noWrap/>
            <w:vAlign w:val="center"/>
          </w:tcPr>
          <w:p>
            <w:pPr>
              <w:pStyle w:val="4"/>
              <w:rPr>
                <w:rFonts w:hint="eastAsia" w:ascii="Noto Sans Mono CJK JP Regular" w:hAnsi="Noto Sans Mono CJK JP Regular" w:eastAsia="华文细黑" w:cs="Noto Sans Mono CJK JP Regular"/>
                <w:kern w:val="0"/>
                <w:szCs w:val="21"/>
                <w:lang w:val="zh-CN"/>
              </w:rPr>
            </w:pPr>
          </w:p>
        </w:tc>
        <w:tc>
          <w:tcPr>
            <w:tcW w:w="1045" w:type="dxa"/>
            <w:tcBorders>
              <w:top w:val="nil"/>
              <w:left w:val="nil"/>
              <w:bottom w:val="single" w:color="auto" w:sz="4" w:space="0"/>
              <w:right w:val="single" w:color="auto" w:sz="4" w:space="0"/>
            </w:tcBorders>
            <w:noWrap/>
            <w:vAlign w:val="center"/>
          </w:tcPr>
          <w:p>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张</w:t>
            </w:r>
          </w:p>
        </w:tc>
        <w:tc>
          <w:tcPr>
            <w:tcW w:w="1134" w:type="dxa"/>
            <w:tcBorders>
              <w:top w:val="nil"/>
              <w:left w:val="nil"/>
              <w:bottom w:val="single" w:color="auto" w:sz="4" w:space="0"/>
              <w:right w:val="single" w:color="auto" w:sz="4" w:space="0"/>
            </w:tcBorders>
            <w:noWrap/>
            <w:vAlign w:val="center"/>
          </w:tcPr>
          <w:p>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1</w:t>
            </w:r>
          </w:p>
        </w:tc>
      </w:tr>
      <w:tr>
        <w:tblPrEx>
          <w:tblCellMar>
            <w:top w:w="0" w:type="dxa"/>
            <w:left w:w="108" w:type="dxa"/>
            <w:bottom w:w="0" w:type="dxa"/>
            <w:right w:w="108" w:type="dxa"/>
          </w:tblCellMar>
        </w:tblPrEx>
        <w:trPr>
          <w:trHeight w:val="460" w:hRule="atLeast"/>
        </w:trPr>
        <w:tc>
          <w:tcPr>
            <w:tcW w:w="704" w:type="dxa"/>
            <w:tcBorders>
              <w:top w:val="nil"/>
              <w:left w:val="single" w:color="auto" w:sz="4" w:space="0"/>
              <w:bottom w:val="single" w:color="auto" w:sz="4" w:space="0"/>
              <w:right w:val="single" w:color="auto" w:sz="4" w:space="0"/>
            </w:tcBorders>
            <w:noWrap/>
            <w:vAlign w:val="center"/>
          </w:tcPr>
          <w:p>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2</w:t>
            </w:r>
          </w:p>
        </w:tc>
        <w:tc>
          <w:tcPr>
            <w:tcW w:w="2156" w:type="dxa"/>
            <w:tcBorders>
              <w:top w:val="nil"/>
              <w:left w:val="nil"/>
              <w:bottom w:val="single" w:color="auto" w:sz="4" w:space="0"/>
              <w:right w:val="single" w:color="auto" w:sz="4" w:space="0"/>
            </w:tcBorders>
            <w:noWrap/>
            <w:vAlign w:val="center"/>
          </w:tcPr>
          <w:p>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耗材</w:t>
            </w:r>
          </w:p>
        </w:tc>
        <w:tc>
          <w:tcPr>
            <w:tcW w:w="3320" w:type="dxa"/>
            <w:tcBorders>
              <w:top w:val="nil"/>
              <w:left w:val="nil"/>
              <w:bottom w:val="single" w:color="auto" w:sz="4" w:space="0"/>
              <w:right w:val="single" w:color="auto" w:sz="4" w:space="0"/>
            </w:tcBorders>
            <w:noWrap/>
            <w:vAlign w:val="center"/>
          </w:tcPr>
          <w:p>
            <w:pPr>
              <w:widowControl/>
              <w:jc w:val="center"/>
              <w:rPr>
                <w:rFonts w:hint="eastAsia" w:ascii="等线" w:hAnsi="等线" w:eastAsia="等线" w:cs="宋体"/>
                <w:color w:val="000000"/>
                <w:kern w:val="0"/>
                <w:sz w:val="22"/>
                <w:szCs w:val="22"/>
              </w:rPr>
            </w:pPr>
          </w:p>
        </w:tc>
        <w:tc>
          <w:tcPr>
            <w:tcW w:w="1045" w:type="dxa"/>
            <w:tcBorders>
              <w:top w:val="nil"/>
              <w:left w:val="nil"/>
              <w:bottom w:val="single" w:color="auto" w:sz="4" w:space="0"/>
              <w:right w:val="single" w:color="auto" w:sz="4" w:space="0"/>
            </w:tcBorders>
            <w:noWrap/>
            <w:vAlign w:val="center"/>
          </w:tcPr>
          <w:p>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批</w:t>
            </w:r>
          </w:p>
        </w:tc>
        <w:tc>
          <w:tcPr>
            <w:tcW w:w="1134" w:type="dxa"/>
            <w:tcBorders>
              <w:top w:val="nil"/>
              <w:left w:val="nil"/>
              <w:bottom w:val="single" w:color="auto" w:sz="4" w:space="0"/>
              <w:right w:val="single" w:color="auto" w:sz="4" w:space="0"/>
            </w:tcBorders>
            <w:noWrap/>
            <w:vAlign w:val="center"/>
          </w:tcPr>
          <w:p>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1</w:t>
            </w:r>
          </w:p>
        </w:tc>
      </w:tr>
      <w:tr>
        <w:tblPrEx>
          <w:tblCellMar>
            <w:top w:w="0" w:type="dxa"/>
            <w:left w:w="108" w:type="dxa"/>
            <w:bottom w:w="0" w:type="dxa"/>
            <w:right w:w="108" w:type="dxa"/>
          </w:tblCellMar>
        </w:tblPrEx>
        <w:trPr>
          <w:trHeight w:val="460" w:hRule="atLeast"/>
        </w:trPr>
        <w:tc>
          <w:tcPr>
            <w:tcW w:w="704" w:type="dxa"/>
            <w:tcBorders>
              <w:top w:val="nil"/>
              <w:left w:val="single" w:color="auto" w:sz="4" w:space="0"/>
              <w:bottom w:val="single" w:color="auto" w:sz="4" w:space="0"/>
              <w:right w:val="single" w:color="auto" w:sz="4" w:space="0"/>
            </w:tcBorders>
            <w:noWrap/>
            <w:vAlign w:val="center"/>
          </w:tcPr>
          <w:p>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3</w:t>
            </w:r>
          </w:p>
        </w:tc>
        <w:tc>
          <w:tcPr>
            <w:tcW w:w="2156" w:type="dxa"/>
            <w:tcBorders>
              <w:top w:val="nil"/>
              <w:left w:val="nil"/>
              <w:bottom w:val="single" w:color="auto" w:sz="4" w:space="0"/>
              <w:right w:val="single" w:color="auto" w:sz="4" w:space="0"/>
            </w:tcBorders>
            <w:noWrap/>
            <w:vAlign w:val="center"/>
          </w:tcPr>
          <w:p>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椅子</w:t>
            </w:r>
          </w:p>
        </w:tc>
        <w:tc>
          <w:tcPr>
            <w:tcW w:w="3320" w:type="dxa"/>
            <w:tcBorders>
              <w:top w:val="nil"/>
              <w:left w:val="nil"/>
              <w:bottom w:val="single" w:color="auto" w:sz="4" w:space="0"/>
              <w:right w:val="single" w:color="auto" w:sz="4" w:space="0"/>
            </w:tcBorders>
            <w:noWrap/>
            <w:vAlign w:val="center"/>
          </w:tcPr>
          <w:p>
            <w:pPr>
              <w:widowControl/>
              <w:jc w:val="center"/>
              <w:rPr>
                <w:rFonts w:hint="eastAsia" w:ascii="等线" w:hAnsi="等线" w:eastAsia="等线" w:cs="宋体"/>
                <w:color w:val="000000"/>
                <w:kern w:val="0"/>
                <w:sz w:val="22"/>
                <w:szCs w:val="22"/>
              </w:rPr>
            </w:pPr>
          </w:p>
        </w:tc>
        <w:tc>
          <w:tcPr>
            <w:tcW w:w="1045" w:type="dxa"/>
            <w:tcBorders>
              <w:top w:val="nil"/>
              <w:left w:val="nil"/>
              <w:bottom w:val="single" w:color="auto" w:sz="4" w:space="0"/>
              <w:right w:val="single" w:color="auto" w:sz="4" w:space="0"/>
            </w:tcBorders>
            <w:noWrap/>
            <w:vAlign w:val="center"/>
          </w:tcPr>
          <w:p>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张</w:t>
            </w:r>
          </w:p>
        </w:tc>
        <w:tc>
          <w:tcPr>
            <w:tcW w:w="1134" w:type="dxa"/>
            <w:tcBorders>
              <w:top w:val="nil"/>
              <w:left w:val="nil"/>
              <w:bottom w:val="single" w:color="auto" w:sz="4" w:space="0"/>
              <w:right w:val="single" w:color="auto" w:sz="4" w:space="0"/>
            </w:tcBorders>
            <w:noWrap/>
            <w:vAlign w:val="center"/>
          </w:tcPr>
          <w:p>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1</w:t>
            </w:r>
          </w:p>
        </w:tc>
      </w:tr>
    </w:tbl>
    <w:p>
      <w:pPr>
        <w:spacing w:line="360" w:lineRule="auto"/>
        <w:ind w:firstLine="480" w:firstLineChars="200"/>
        <w:rPr>
          <w:rFonts w:hint="eastAsia" w:ascii="仿宋" w:hAnsi="仿宋" w:eastAsia="仿宋"/>
          <w:sz w:val="24"/>
        </w:rPr>
      </w:pPr>
      <w:r>
        <w:rPr>
          <w:rFonts w:hint="eastAsia" w:ascii="Noto Sans Mono CJK JP Regular" w:hAnsi="Noto Sans Mono CJK JP Regular" w:eastAsia="华文细黑" w:cs="Noto Sans Mono CJK JP Regular"/>
          <w:kern w:val="0"/>
          <w:sz w:val="24"/>
          <w:szCs w:val="22"/>
          <w:lang w:val="zh-CN"/>
        </w:rPr>
        <w:t>5. 选手自带工具清单见表4。</w:t>
      </w:r>
    </w:p>
    <w:p>
      <w:pPr>
        <w:spacing w:line="360" w:lineRule="auto"/>
        <w:ind w:right="720"/>
        <w:jc w:val="center"/>
        <w:rPr>
          <w:rFonts w:hint="eastAsia" w:ascii="仿宋" w:hAnsi="仿宋" w:eastAsia="仿宋"/>
          <w:sz w:val="24"/>
        </w:rPr>
      </w:pPr>
      <w:r>
        <w:rPr>
          <w:rFonts w:hint="eastAsia" w:ascii="Calibri" w:hAnsi="Calibri" w:eastAsia="华文细黑"/>
          <w:sz w:val="24"/>
          <w:lang w:val="zh-CN"/>
        </w:rPr>
        <w:t>表4.  选手自带工具清单</w:t>
      </w:r>
    </w:p>
    <w:tbl>
      <w:tblPr>
        <w:tblStyle w:val="12"/>
        <w:tblW w:w="84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6"/>
        <w:gridCol w:w="2044"/>
        <w:gridCol w:w="741"/>
        <w:gridCol w:w="47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96" w:type="dxa"/>
          </w:tcPr>
          <w:p>
            <w:pPr>
              <w:jc w:val="center"/>
              <w:rPr>
                <w:rFonts w:hint="eastAsia" w:ascii="华文细黑" w:hAnsi="华文细黑" w:eastAsia="华文细黑"/>
                <w:b/>
                <w:szCs w:val="21"/>
              </w:rPr>
            </w:pPr>
            <w:r>
              <w:rPr>
                <w:rFonts w:hint="eastAsia" w:ascii="华文细黑" w:hAnsi="华文细黑" w:eastAsia="华文细黑"/>
                <w:b/>
                <w:szCs w:val="21"/>
              </w:rPr>
              <w:t>序号</w:t>
            </w:r>
          </w:p>
        </w:tc>
        <w:tc>
          <w:tcPr>
            <w:tcW w:w="2044" w:type="dxa"/>
          </w:tcPr>
          <w:p>
            <w:pPr>
              <w:jc w:val="center"/>
              <w:rPr>
                <w:rFonts w:hint="eastAsia" w:ascii="华文细黑" w:hAnsi="华文细黑" w:eastAsia="华文细黑"/>
                <w:b/>
                <w:szCs w:val="21"/>
              </w:rPr>
            </w:pPr>
            <w:r>
              <w:rPr>
                <w:rFonts w:hint="eastAsia" w:ascii="华文细黑" w:hAnsi="华文细黑" w:eastAsia="华文细黑"/>
                <w:b/>
                <w:szCs w:val="21"/>
              </w:rPr>
              <w:t>名称</w:t>
            </w:r>
          </w:p>
        </w:tc>
        <w:tc>
          <w:tcPr>
            <w:tcW w:w="741" w:type="dxa"/>
          </w:tcPr>
          <w:p>
            <w:pPr>
              <w:jc w:val="center"/>
              <w:rPr>
                <w:rFonts w:hint="eastAsia" w:ascii="华文细黑" w:hAnsi="华文细黑" w:eastAsia="华文细黑"/>
                <w:b/>
                <w:szCs w:val="21"/>
              </w:rPr>
            </w:pPr>
            <w:r>
              <w:rPr>
                <w:rFonts w:hint="eastAsia" w:ascii="华文细黑" w:hAnsi="华文细黑" w:eastAsia="华文细黑"/>
                <w:b/>
                <w:szCs w:val="21"/>
              </w:rPr>
              <w:t>数量</w:t>
            </w:r>
          </w:p>
        </w:tc>
        <w:tc>
          <w:tcPr>
            <w:tcW w:w="4719" w:type="dxa"/>
          </w:tcPr>
          <w:p>
            <w:pPr>
              <w:jc w:val="center"/>
              <w:rPr>
                <w:rFonts w:hint="eastAsia" w:ascii="华文细黑" w:hAnsi="华文细黑" w:eastAsia="华文细黑"/>
                <w:b/>
                <w:szCs w:val="21"/>
              </w:rPr>
            </w:pPr>
            <w:r>
              <w:rPr>
                <w:rFonts w:hint="eastAsia" w:ascii="华文细黑" w:hAnsi="华文细黑" w:eastAsia="华文细黑"/>
                <w:b/>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96" w:type="dxa"/>
            <w:vAlign w:val="center"/>
          </w:tcPr>
          <w:p>
            <w:pPr>
              <w:pStyle w:val="4"/>
              <w:rPr>
                <w:rFonts w:hint="eastAsia" w:ascii="Noto Sans Mono CJK JP Regular" w:hAnsi="Noto Sans Mono CJK JP Regular" w:eastAsia="华文细黑" w:cs="Noto Sans Mono CJK JP Regular"/>
                <w:kern w:val="0"/>
                <w:szCs w:val="21"/>
                <w:lang w:val="zh-CN"/>
              </w:rPr>
            </w:pPr>
            <w:r>
              <w:rPr>
                <w:rFonts w:hint="eastAsia" w:ascii="Noto Sans Mono CJK JP Regular" w:hAnsi="Noto Sans Mono CJK JP Regular" w:eastAsia="华文细黑" w:cs="Noto Sans Mono CJK JP Regular"/>
                <w:kern w:val="0"/>
                <w:szCs w:val="21"/>
                <w:lang w:val="zh-CN"/>
              </w:rPr>
              <w:t>1</w:t>
            </w:r>
          </w:p>
        </w:tc>
        <w:tc>
          <w:tcPr>
            <w:tcW w:w="2044" w:type="dxa"/>
            <w:vAlign w:val="center"/>
          </w:tcPr>
          <w:p>
            <w:pPr>
              <w:pStyle w:val="4"/>
              <w:rPr>
                <w:rFonts w:hint="eastAsia" w:ascii="Noto Sans Mono CJK JP Regular" w:hAnsi="Noto Sans Mono CJK JP Regular" w:eastAsia="华文细黑" w:cs="Noto Sans Mono CJK JP Regular"/>
                <w:kern w:val="0"/>
                <w:szCs w:val="21"/>
                <w:lang w:val="zh-CN"/>
              </w:rPr>
            </w:pPr>
            <w:r>
              <w:rPr>
                <w:rFonts w:hint="eastAsia" w:ascii="Noto Sans Mono CJK JP Regular" w:hAnsi="Noto Sans Mono CJK JP Regular" w:eastAsia="华文细黑" w:cs="Noto Sans Mono CJK JP Regular"/>
                <w:kern w:val="0"/>
                <w:szCs w:val="21"/>
                <w:lang w:val="zh-CN"/>
              </w:rPr>
              <w:t>万用表</w:t>
            </w:r>
          </w:p>
        </w:tc>
        <w:tc>
          <w:tcPr>
            <w:tcW w:w="741" w:type="dxa"/>
            <w:vAlign w:val="center"/>
          </w:tcPr>
          <w:p>
            <w:pPr>
              <w:pStyle w:val="4"/>
              <w:rPr>
                <w:rFonts w:hint="eastAsia" w:ascii="Noto Sans Mono CJK JP Regular" w:hAnsi="Noto Sans Mono CJK JP Regular" w:eastAsia="华文细黑" w:cs="Noto Sans Mono CJK JP Regular"/>
                <w:kern w:val="0"/>
                <w:szCs w:val="21"/>
                <w:lang w:val="zh-CN"/>
              </w:rPr>
            </w:pPr>
            <w:r>
              <w:rPr>
                <w:rFonts w:hint="eastAsia" w:ascii="Noto Sans Mono CJK JP Regular" w:hAnsi="Noto Sans Mono CJK JP Regular" w:eastAsia="华文细黑" w:cs="Noto Sans Mono CJK JP Regular"/>
                <w:kern w:val="0"/>
                <w:szCs w:val="21"/>
                <w:lang w:val="zh-CN"/>
              </w:rPr>
              <w:t>1</w:t>
            </w:r>
          </w:p>
        </w:tc>
        <w:tc>
          <w:tcPr>
            <w:tcW w:w="4719" w:type="dxa"/>
            <w:vAlign w:val="center"/>
          </w:tcPr>
          <w:p>
            <w:pPr>
              <w:pStyle w:val="4"/>
              <w:rPr>
                <w:rFonts w:hint="eastAsia" w:ascii="Noto Sans Mono CJK JP Regular" w:hAnsi="Noto Sans Mono CJK JP Regular" w:eastAsia="华文细黑" w:cs="Noto Sans Mono CJK JP Regular"/>
                <w:kern w:val="0"/>
                <w:szCs w:val="21"/>
                <w:lang w:val="zh-CN"/>
              </w:rPr>
            </w:pPr>
            <w:r>
              <w:rPr>
                <w:rFonts w:hint="eastAsia" w:ascii="Noto Sans Mono CJK JP Regular" w:hAnsi="Noto Sans Mono CJK JP Regular" w:eastAsia="华文细黑" w:cs="Noto Sans Mono CJK JP Regular"/>
                <w:kern w:val="0"/>
                <w:szCs w:val="21"/>
                <w:lang w:val="zh-CN"/>
              </w:rPr>
              <w:t>型号自定，建议为数字式自动换挡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96" w:type="dxa"/>
            <w:vAlign w:val="center"/>
          </w:tcPr>
          <w:p>
            <w:pPr>
              <w:pStyle w:val="4"/>
              <w:rPr>
                <w:rFonts w:hint="eastAsia" w:ascii="Noto Sans Mono CJK JP Regular" w:hAnsi="Noto Sans Mono CJK JP Regular" w:eastAsia="华文细黑" w:cs="Noto Sans Mono CJK JP Regular"/>
                <w:kern w:val="0"/>
                <w:szCs w:val="21"/>
                <w:lang w:val="zh-CN"/>
              </w:rPr>
            </w:pPr>
            <w:r>
              <w:rPr>
                <w:rFonts w:hint="eastAsia" w:ascii="Noto Sans Mono CJK JP Regular" w:hAnsi="Noto Sans Mono CJK JP Regular" w:eastAsia="华文细黑" w:cs="Noto Sans Mono CJK JP Regular"/>
                <w:kern w:val="0"/>
                <w:szCs w:val="21"/>
                <w:lang w:val="zh-CN"/>
              </w:rPr>
              <w:t>2</w:t>
            </w:r>
          </w:p>
        </w:tc>
        <w:tc>
          <w:tcPr>
            <w:tcW w:w="2044" w:type="dxa"/>
            <w:vAlign w:val="center"/>
          </w:tcPr>
          <w:p>
            <w:pPr>
              <w:pStyle w:val="4"/>
              <w:rPr>
                <w:rFonts w:hint="eastAsia" w:ascii="Noto Sans Mono CJK JP Regular" w:hAnsi="Noto Sans Mono CJK JP Regular" w:eastAsia="华文细黑" w:cs="Noto Sans Mono CJK JP Regular"/>
                <w:kern w:val="0"/>
                <w:szCs w:val="21"/>
                <w:lang w:val="zh-CN"/>
              </w:rPr>
            </w:pPr>
            <w:r>
              <w:rPr>
                <w:rFonts w:hint="eastAsia" w:ascii="Noto Sans Mono CJK JP Regular" w:hAnsi="Noto Sans Mono CJK JP Regular" w:eastAsia="华文细黑" w:cs="Noto Sans Mono CJK JP Regular"/>
                <w:kern w:val="0"/>
                <w:szCs w:val="21"/>
                <w:lang w:val="zh-CN"/>
              </w:rPr>
              <w:t>剥线钳</w:t>
            </w:r>
          </w:p>
        </w:tc>
        <w:tc>
          <w:tcPr>
            <w:tcW w:w="741" w:type="dxa"/>
            <w:vAlign w:val="center"/>
          </w:tcPr>
          <w:p>
            <w:pPr>
              <w:pStyle w:val="4"/>
              <w:rPr>
                <w:rFonts w:hint="eastAsia" w:ascii="Noto Sans Mono CJK JP Regular" w:hAnsi="Noto Sans Mono CJK JP Regular" w:eastAsia="华文细黑" w:cs="Noto Sans Mono CJK JP Regular"/>
                <w:kern w:val="0"/>
                <w:szCs w:val="21"/>
                <w:lang w:val="zh-CN"/>
              </w:rPr>
            </w:pPr>
            <w:r>
              <w:rPr>
                <w:rFonts w:hint="eastAsia" w:ascii="Noto Sans Mono CJK JP Regular" w:hAnsi="Noto Sans Mono CJK JP Regular" w:eastAsia="华文细黑" w:cs="Noto Sans Mono CJK JP Regular"/>
                <w:kern w:val="0"/>
                <w:szCs w:val="21"/>
                <w:lang w:val="zh-CN"/>
              </w:rPr>
              <w:t>1</w:t>
            </w:r>
          </w:p>
        </w:tc>
        <w:tc>
          <w:tcPr>
            <w:tcW w:w="4719" w:type="dxa"/>
            <w:vAlign w:val="center"/>
          </w:tcPr>
          <w:p>
            <w:pPr>
              <w:pStyle w:val="4"/>
              <w:rPr>
                <w:rFonts w:hint="eastAsia" w:ascii="Noto Sans Mono CJK JP Regular" w:hAnsi="Noto Sans Mono CJK JP Regular" w:eastAsia="华文细黑" w:cs="Noto Sans Mono CJK JP Regular"/>
                <w:kern w:val="0"/>
                <w:szCs w:val="21"/>
                <w:lang w:val="zh-CN"/>
              </w:rPr>
            </w:pPr>
            <w:r>
              <w:rPr>
                <w:rFonts w:hint="eastAsia" w:ascii="Noto Sans Mono CJK JP Regular" w:hAnsi="Noto Sans Mono CJK JP Regular" w:eastAsia="华文细黑" w:cs="Noto Sans Mono CJK JP Regular"/>
                <w:kern w:val="0"/>
                <w:szCs w:val="21"/>
                <w:lang w:val="zh-CN"/>
              </w:rPr>
              <w:t>剥线线径0.3~2.0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96" w:type="dxa"/>
            <w:vAlign w:val="center"/>
          </w:tcPr>
          <w:p>
            <w:pPr>
              <w:pStyle w:val="4"/>
              <w:rPr>
                <w:rFonts w:hint="eastAsia" w:ascii="Noto Sans Mono CJK JP Regular" w:hAnsi="Noto Sans Mono CJK JP Regular" w:eastAsia="华文细黑" w:cs="Noto Sans Mono CJK JP Regular"/>
                <w:kern w:val="0"/>
                <w:szCs w:val="21"/>
                <w:lang w:val="zh-CN"/>
              </w:rPr>
            </w:pPr>
            <w:r>
              <w:rPr>
                <w:rFonts w:hint="eastAsia" w:ascii="Noto Sans Mono CJK JP Regular" w:hAnsi="Noto Sans Mono CJK JP Regular" w:eastAsia="华文细黑" w:cs="Noto Sans Mono CJK JP Regular"/>
                <w:kern w:val="0"/>
                <w:szCs w:val="21"/>
                <w:lang w:val="zh-CN"/>
              </w:rPr>
              <w:t>3</w:t>
            </w:r>
          </w:p>
        </w:tc>
        <w:tc>
          <w:tcPr>
            <w:tcW w:w="2044" w:type="dxa"/>
            <w:vAlign w:val="center"/>
          </w:tcPr>
          <w:p>
            <w:pPr>
              <w:pStyle w:val="4"/>
              <w:rPr>
                <w:rFonts w:hint="eastAsia" w:ascii="Noto Sans Mono CJK JP Regular" w:hAnsi="Noto Sans Mono CJK JP Regular" w:eastAsia="华文细黑" w:cs="Noto Sans Mono CJK JP Regular"/>
                <w:kern w:val="0"/>
                <w:szCs w:val="21"/>
                <w:lang w:val="zh-CN"/>
              </w:rPr>
            </w:pPr>
            <w:r>
              <w:rPr>
                <w:rFonts w:hint="eastAsia" w:ascii="Noto Sans Mono CJK JP Regular" w:hAnsi="Noto Sans Mono CJK JP Regular" w:eastAsia="华文细黑" w:cs="Noto Sans Mono CJK JP Regular"/>
                <w:kern w:val="0"/>
                <w:szCs w:val="21"/>
                <w:lang w:val="zh-CN"/>
              </w:rPr>
              <w:t>尖嘴钳</w:t>
            </w:r>
          </w:p>
        </w:tc>
        <w:tc>
          <w:tcPr>
            <w:tcW w:w="741" w:type="dxa"/>
            <w:vAlign w:val="center"/>
          </w:tcPr>
          <w:p>
            <w:pPr>
              <w:pStyle w:val="4"/>
              <w:rPr>
                <w:rFonts w:hint="eastAsia" w:ascii="Noto Sans Mono CJK JP Regular" w:hAnsi="Noto Sans Mono CJK JP Regular" w:eastAsia="华文细黑" w:cs="Noto Sans Mono CJK JP Regular"/>
                <w:kern w:val="0"/>
                <w:szCs w:val="21"/>
                <w:lang w:val="zh-CN"/>
              </w:rPr>
            </w:pPr>
            <w:r>
              <w:rPr>
                <w:rFonts w:hint="eastAsia" w:ascii="Noto Sans Mono CJK JP Regular" w:hAnsi="Noto Sans Mono CJK JP Regular" w:eastAsia="华文细黑" w:cs="Noto Sans Mono CJK JP Regular"/>
                <w:kern w:val="0"/>
                <w:szCs w:val="21"/>
                <w:lang w:val="zh-CN"/>
              </w:rPr>
              <w:t>1</w:t>
            </w:r>
          </w:p>
        </w:tc>
        <w:tc>
          <w:tcPr>
            <w:tcW w:w="4719" w:type="dxa"/>
            <w:vAlign w:val="center"/>
          </w:tcPr>
          <w:p>
            <w:pPr>
              <w:pStyle w:val="4"/>
              <w:rPr>
                <w:rFonts w:hint="eastAsia" w:ascii="Noto Sans Mono CJK JP Regular" w:hAnsi="Noto Sans Mono CJK JP Regular" w:eastAsia="华文细黑" w:cs="Noto Sans Mono CJK JP Regular"/>
                <w:kern w:val="0"/>
                <w:szCs w:val="21"/>
                <w:lang w:val="zh-CN"/>
              </w:rPr>
            </w:pPr>
            <w:r>
              <w:rPr>
                <w:rFonts w:hint="eastAsia" w:ascii="Noto Sans Mono CJK JP Regular" w:hAnsi="Noto Sans Mono CJK JP Regular" w:eastAsia="华文细黑" w:cs="Noto Sans Mono CJK JP Regular"/>
                <w:kern w:val="0"/>
                <w:szCs w:val="21"/>
                <w:lang w:val="zh-CN"/>
              </w:rPr>
              <w:t>125mm，塑料柄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96" w:type="dxa"/>
            <w:vAlign w:val="center"/>
          </w:tcPr>
          <w:p>
            <w:pPr>
              <w:pStyle w:val="4"/>
              <w:rPr>
                <w:rFonts w:hint="eastAsia" w:ascii="Noto Sans Mono CJK JP Regular" w:hAnsi="Noto Sans Mono CJK JP Regular" w:eastAsia="华文细黑" w:cs="Noto Sans Mono CJK JP Regular"/>
                <w:kern w:val="0"/>
                <w:szCs w:val="21"/>
                <w:lang w:val="zh-CN"/>
              </w:rPr>
            </w:pPr>
            <w:r>
              <w:rPr>
                <w:rFonts w:hint="eastAsia" w:ascii="Noto Sans Mono CJK JP Regular" w:hAnsi="Noto Sans Mono CJK JP Regular" w:eastAsia="华文细黑" w:cs="Noto Sans Mono CJK JP Regular"/>
                <w:kern w:val="0"/>
                <w:szCs w:val="21"/>
                <w:lang w:val="zh-CN"/>
              </w:rPr>
              <w:t>4</w:t>
            </w:r>
          </w:p>
        </w:tc>
        <w:tc>
          <w:tcPr>
            <w:tcW w:w="2044" w:type="dxa"/>
            <w:vAlign w:val="center"/>
          </w:tcPr>
          <w:p>
            <w:pPr>
              <w:pStyle w:val="4"/>
              <w:rPr>
                <w:rFonts w:hint="eastAsia" w:ascii="Noto Sans Mono CJK JP Regular" w:hAnsi="Noto Sans Mono CJK JP Regular" w:eastAsia="华文细黑" w:cs="Noto Sans Mono CJK JP Regular"/>
                <w:kern w:val="0"/>
                <w:szCs w:val="21"/>
                <w:lang w:val="zh-CN"/>
              </w:rPr>
            </w:pPr>
            <w:r>
              <w:rPr>
                <w:rFonts w:hint="eastAsia" w:ascii="Noto Sans Mono CJK JP Regular" w:hAnsi="Noto Sans Mono CJK JP Regular" w:eastAsia="华文细黑" w:cs="Noto Sans Mono CJK JP Regular"/>
                <w:kern w:val="0"/>
                <w:szCs w:val="21"/>
                <w:lang w:val="zh-CN"/>
              </w:rPr>
              <w:t>断线钳</w:t>
            </w:r>
          </w:p>
        </w:tc>
        <w:tc>
          <w:tcPr>
            <w:tcW w:w="741" w:type="dxa"/>
            <w:vAlign w:val="center"/>
          </w:tcPr>
          <w:p>
            <w:pPr>
              <w:pStyle w:val="4"/>
              <w:rPr>
                <w:rFonts w:hint="eastAsia" w:ascii="Noto Sans Mono CJK JP Regular" w:hAnsi="Noto Sans Mono CJK JP Regular" w:eastAsia="华文细黑" w:cs="Noto Sans Mono CJK JP Regular"/>
                <w:kern w:val="0"/>
                <w:szCs w:val="21"/>
                <w:lang w:val="zh-CN"/>
              </w:rPr>
            </w:pPr>
            <w:r>
              <w:rPr>
                <w:rFonts w:hint="eastAsia" w:ascii="Noto Sans Mono CJK JP Regular" w:hAnsi="Noto Sans Mono CJK JP Regular" w:eastAsia="华文细黑" w:cs="Noto Sans Mono CJK JP Regular"/>
                <w:kern w:val="0"/>
                <w:szCs w:val="21"/>
                <w:lang w:val="zh-CN"/>
              </w:rPr>
              <w:t>1</w:t>
            </w:r>
          </w:p>
        </w:tc>
        <w:tc>
          <w:tcPr>
            <w:tcW w:w="4719" w:type="dxa"/>
            <w:vAlign w:val="center"/>
          </w:tcPr>
          <w:p>
            <w:pPr>
              <w:pStyle w:val="4"/>
              <w:rPr>
                <w:rFonts w:hint="eastAsia" w:ascii="Noto Sans Mono CJK JP Regular" w:hAnsi="Noto Sans Mono CJK JP Regular" w:eastAsia="华文细黑" w:cs="Noto Sans Mono CJK JP Regular"/>
                <w:kern w:val="0"/>
                <w:szCs w:val="21"/>
                <w:lang w:val="zh-CN"/>
              </w:rPr>
            </w:pPr>
            <w:r>
              <w:rPr>
                <w:rFonts w:hint="eastAsia" w:ascii="Noto Sans Mono CJK JP Regular" w:hAnsi="Noto Sans Mono CJK JP Regular" w:eastAsia="华文细黑" w:cs="Noto Sans Mono CJK JP Regular"/>
                <w:kern w:val="0"/>
                <w:szCs w:val="21"/>
                <w:lang w:val="zh-CN"/>
              </w:rPr>
              <w:t>125mm，塑料柄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96" w:type="dxa"/>
            <w:vAlign w:val="center"/>
          </w:tcPr>
          <w:p>
            <w:pPr>
              <w:pStyle w:val="4"/>
              <w:rPr>
                <w:rFonts w:hint="eastAsia" w:ascii="Noto Sans Mono CJK JP Regular" w:hAnsi="Noto Sans Mono CJK JP Regular" w:eastAsia="华文细黑" w:cs="Noto Sans Mono CJK JP Regular"/>
                <w:kern w:val="0"/>
                <w:szCs w:val="21"/>
                <w:lang w:val="zh-CN"/>
              </w:rPr>
            </w:pPr>
            <w:r>
              <w:rPr>
                <w:rFonts w:hint="eastAsia" w:ascii="Noto Sans Mono CJK JP Regular" w:hAnsi="Noto Sans Mono CJK JP Regular" w:eastAsia="华文细黑" w:cs="Noto Sans Mono CJK JP Regular"/>
                <w:kern w:val="0"/>
                <w:szCs w:val="21"/>
                <w:lang w:val="zh-CN"/>
              </w:rPr>
              <w:t>5</w:t>
            </w:r>
          </w:p>
        </w:tc>
        <w:tc>
          <w:tcPr>
            <w:tcW w:w="2044" w:type="dxa"/>
            <w:vAlign w:val="center"/>
          </w:tcPr>
          <w:p>
            <w:pPr>
              <w:pStyle w:val="4"/>
              <w:rPr>
                <w:rFonts w:hint="eastAsia" w:ascii="Noto Sans Mono CJK JP Regular" w:hAnsi="Noto Sans Mono CJK JP Regular" w:eastAsia="华文细黑" w:cs="Noto Sans Mono CJK JP Regular"/>
                <w:kern w:val="0"/>
                <w:szCs w:val="21"/>
                <w:lang w:val="zh-CN"/>
              </w:rPr>
            </w:pPr>
            <w:r>
              <w:rPr>
                <w:rFonts w:hint="eastAsia" w:ascii="Noto Sans Mono CJK JP Regular" w:hAnsi="Noto Sans Mono CJK JP Regular" w:eastAsia="华文细黑" w:cs="Noto Sans Mono CJK JP Regular"/>
                <w:kern w:val="0"/>
                <w:szCs w:val="21"/>
                <w:lang w:val="zh-CN"/>
              </w:rPr>
              <w:t>压线钳</w:t>
            </w:r>
          </w:p>
        </w:tc>
        <w:tc>
          <w:tcPr>
            <w:tcW w:w="741" w:type="dxa"/>
            <w:vAlign w:val="center"/>
          </w:tcPr>
          <w:p>
            <w:pPr>
              <w:pStyle w:val="4"/>
              <w:rPr>
                <w:rFonts w:hint="eastAsia" w:ascii="Noto Sans Mono CJK JP Regular" w:hAnsi="Noto Sans Mono CJK JP Regular" w:eastAsia="华文细黑" w:cs="Noto Sans Mono CJK JP Regular"/>
                <w:kern w:val="0"/>
                <w:szCs w:val="21"/>
                <w:lang w:val="zh-CN"/>
              </w:rPr>
            </w:pPr>
            <w:r>
              <w:rPr>
                <w:rFonts w:hint="eastAsia" w:ascii="Noto Sans Mono CJK JP Regular" w:hAnsi="Noto Sans Mono CJK JP Regular" w:eastAsia="华文细黑" w:cs="Noto Sans Mono CJK JP Regular"/>
                <w:kern w:val="0"/>
                <w:szCs w:val="21"/>
                <w:lang w:val="zh-CN"/>
              </w:rPr>
              <w:t>1</w:t>
            </w:r>
          </w:p>
        </w:tc>
        <w:tc>
          <w:tcPr>
            <w:tcW w:w="4719" w:type="dxa"/>
            <w:vAlign w:val="center"/>
          </w:tcPr>
          <w:p>
            <w:pPr>
              <w:pStyle w:val="4"/>
              <w:rPr>
                <w:rFonts w:hint="eastAsia" w:ascii="Noto Sans Mono CJK JP Regular" w:hAnsi="Noto Sans Mono CJK JP Regular" w:eastAsia="华文细黑" w:cs="Noto Sans Mono CJK JP Regular"/>
                <w:kern w:val="0"/>
                <w:szCs w:val="21"/>
                <w:lang w:val="zh-CN"/>
              </w:rPr>
            </w:pPr>
            <w:r>
              <w:rPr>
                <w:rFonts w:hint="eastAsia" w:ascii="Noto Sans Mono CJK JP Regular" w:hAnsi="Noto Sans Mono CJK JP Regular" w:eastAsia="华文细黑" w:cs="Noto Sans Mono CJK JP Regular"/>
                <w:kern w:val="0"/>
                <w:szCs w:val="21"/>
                <w:lang w:val="zh-CN"/>
              </w:rPr>
              <w:t>E系列针式端子压线专用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96" w:type="dxa"/>
            <w:vAlign w:val="center"/>
          </w:tcPr>
          <w:p>
            <w:pPr>
              <w:pStyle w:val="4"/>
              <w:rPr>
                <w:rFonts w:hint="eastAsia" w:ascii="Noto Sans Mono CJK JP Regular" w:hAnsi="Noto Sans Mono CJK JP Regular" w:eastAsia="华文细黑" w:cs="Noto Sans Mono CJK JP Regular"/>
                <w:kern w:val="0"/>
                <w:szCs w:val="21"/>
                <w:lang w:val="zh-CN"/>
              </w:rPr>
            </w:pPr>
            <w:r>
              <w:rPr>
                <w:rFonts w:hint="eastAsia" w:ascii="Noto Sans Mono CJK JP Regular" w:hAnsi="Noto Sans Mono CJK JP Regular" w:eastAsia="华文细黑" w:cs="Noto Sans Mono CJK JP Regular"/>
                <w:kern w:val="0"/>
                <w:szCs w:val="21"/>
                <w:lang w:val="zh-CN"/>
              </w:rPr>
              <w:t>6</w:t>
            </w:r>
          </w:p>
        </w:tc>
        <w:tc>
          <w:tcPr>
            <w:tcW w:w="2044" w:type="dxa"/>
            <w:vAlign w:val="center"/>
          </w:tcPr>
          <w:p>
            <w:pPr>
              <w:pStyle w:val="4"/>
              <w:rPr>
                <w:rFonts w:hint="eastAsia" w:ascii="Noto Sans Mono CJK JP Regular" w:hAnsi="Noto Sans Mono CJK JP Regular" w:eastAsia="华文细黑" w:cs="Noto Sans Mono CJK JP Regular"/>
                <w:kern w:val="0"/>
                <w:szCs w:val="21"/>
                <w:lang w:val="zh-CN"/>
              </w:rPr>
            </w:pPr>
            <w:r>
              <w:rPr>
                <w:rFonts w:hint="eastAsia" w:ascii="Noto Sans Mono CJK JP Regular" w:hAnsi="Noto Sans Mono CJK JP Regular" w:eastAsia="华文细黑" w:cs="Noto Sans Mono CJK JP Regular"/>
                <w:kern w:val="0"/>
                <w:szCs w:val="21"/>
                <w:lang w:val="zh-CN"/>
              </w:rPr>
              <w:t>“一”字电工改锥</w:t>
            </w:r>
          </w:p>
        </w:tc>
        <w:tc>
          <w:tcPr>
            <w:tcW w:w="741" w:type="dxa"/>
            <w:vAlign w:val="center"/>
          </w:tcPr>
          <w:p>
            <w:pPr>
              <w:pStyle w:val="4"/>
              <w:rPr>
                <w:rFonts w:hint="eastAsia" w:ascii="Noto Sans Mono CJK JP Regular" w:hAnsi="Noto Sans Mono CJK JP Regular" w:eastAsia="华文细黑" w:cs="Noto Sans Mono CJK JP Regular"/>
                <w:kern w:val="0"/>
                <w:szCs w:val="21"/>
                <w:lang w:val="zh-CN"/>
              </w:rPr>
            </w:pPr>
            <w:r>
              <w:rPr>
                <w:rFonts w:hint="eastAsia" w:ascii="Noto Sans Mono CJK JP Regular" w:hAnsi="Noto Sans Mono CJK JP Regular" w:eastAsia="华文细黑" w:cs="Noto Sans Mono CJK JP Regular"/>
                <w:kern w:val="0"/>
                <w:szCs w:val="21"/>
                <w:lang w:val="zh-CN"/>
              </w:rPr>
              <w:t>3</w:t>
            </w:r>
          </w:p>
        </w:tc>
        <w:tc>
          <w:tcPr>
            <w:tcW w:w="4719" w:type="dxa"/>
            <w:vAlign w:val="center"/>
          </w:tcPr>
          <w:p>
            <w:pPr>
              <w:pStyle w:val="4"/>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3×75mm,5×100mm，6×200mm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96" w:type="dxa"/>
            <w:vAlign w:val="center"/>
          </w:tcPr>
          <w:p>
            <w:pPr>
              <w:pStyle w:val="4"/>
              <w:rPr>
                <w:rFonts w:hint="eastAsia" w:ascii="Noto Sans Mono CJK JP Regular" w:hAnsi="Noto Sans Mono CJK JP Regular" w:eastAsia="华文细黑" w:cs="Noto Sans Mono CJK JP Regular"/>
                <w:kern w:val="0"/>
                <w:szCs w:val="21"/>
                <w:lang w:val="zh-CN"/>
              </w:rPr>
            </w:pPr>
            <w:r>
              <w:rPr>
                <w:rFonts w:hint="eastAsia" w:ascii="Noto Sans Mono CJK JP Regular" w:hAnsi="Noto Sans Mono CJK JP Regular" w:eastAsia="华文细黑" w:cs="Noto Sans Mono CJK JP Regular"/>
                <w:kern w:val="0"/>
                <w:szCs w:val="21"/>
                <w:lang w:val="zh-CN"/>
              </w:rPr>
              <w:t>7</w:t>
            </w:r>
          </w:p>
        </w:tc>
        <w:tc>
          <w:tcPr>
            <w:tcW w:w="2044" w:type="dxa"/>
            <w:vAlign w:val="center"/>
          </w:tcPr>
          <w:p>
            <w:pPr>
              <w:pStyle w:val="4"/>
              <w:rPr>
                <w:rFonts w:hint="eastAsia" w:ascii="Noto Sans Mono CJK JP Regular" w:hAnsi="Noto Sans Mono CJK JP Regular" w:eastAsia="华文细黑" w:cs="Noto Sans Mono CJK JP Regular"/>
                <w:kern w:val="0"/>
                <w:szCs w:val="21"/>
                <w:lang w:val="zh-CN"/>
              </w:rPr>
            </w:pPr>
            <w:r>
              <w:rPr>
                <w:rFonts w:hint="eastAsia" w:ascii="Noto Sans Mono CJK JP Regular" w:hAnsi="Noto Sans Mono CJK JP Regular" w:eastAsia="华文细黑" w:cs="Noto Sans Mono CJK JP Regular"/>
                <w:kern w:val="0"/>
                <w:szCs w:val="21"/>
                <w:lang w:val="zh-CN"/>
              </w:rPr>
              <w:t>“十”字电工改锥</w:t>
            </w:r>
          </w:p>
        </w:tc>
        <w:tc>
          <w:tcPr>
            <w:tcW w:w="741" w:type="dxa"/>
            <w:vAlign w:val="center"/>
          </w:tcPr>
          <w:p>
            <w:pPr>
              <w:pStyle w:val="4"/>
              <w:rPr>
                <w:rFonts w:hint="eastAsia" w:ascii="Noto Sans Mono CJK JP Regular" w:hAnsi="Noto Sans Mono CJK JP Regular" w:eastAsia="华文细黑" w:cs="Noto Sans Mono CJK JP Regular"/>
                <w:kern w:val="0"/>
                <w:szCs w:val="21"/>
                <w:lang w:val="zh-CN"/>
              </w:rPr>
            </w:pPr>
            <w:r>
              <w:rPr>
                <w:rFonts w:hint="eastAsia" w:ascii="Noto Sans Mono CJK JP Regular" w:hAnsi="Noto Sans Mono CJK JP Regular" w:eastAsia="华文细黑" w:cs="Noto Sans Mono CJK JP Regular"/>
                <w:kern w:val="0"/>
                <w:szCs w:val="21"/>
                <w:lang w:val="zh-CN"/>
              </w:rPr>
              <w:t>3</w:t>
            </w:r>
          </w:p>
        </w:tc>
        <w:tc>
          <w:tcPr>
            <w:tcW w:w="4719" w:type="dxa"/>
            <w:vAlign w:val="center"/>
          </w:tcPr>
          <w:p>
            <w:pPr>
              <w:pStyle w:val="4"/>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PH 0×75mm，PH 1×100mm，PH 2×200mm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96" w:type="dxa"/>
            <w:vAlign w:val="center"/>
          </w:tcPr>
          <w:p>
            <w:pPr>
              <w:pStyle w:val="4"/>
              <w:rPr>
                <w:rFonts w:hint="eastAsia" w:ascii="Noto Sans Mono CJK JP Regular" w:hAnsi="Noto Sans Mono CJK JP Regular" w:eastAsia="华文细黑" w:cs="Noto Sans Mono CJK JP Regular"/>
                <w:kern w:val="0"/>
                <w:szCs w:val="21"/>
                <w:lang w:val="zh-CN"/>
              </w:rPr>
            </w:pPr>
            <w:r>
              <w:rPr>
                <w:rFonts w:hint="eastAsia" w:ascii="Noto Sans Mono CJK JP Regular" w:hAnsi="Noto Sans Mono CJK JP Regular" w:eastAsia="华文细黑" w:cs="Noto Sans Mono CJK JP Regular"/>
                <w:kern w:val="0"/>
                <w:szCs w:val="21"/>
                <w:lang w:val="zh-CN"/>
              </w:rPr>
              <w:t>8</w:t>
            </w:r>
          </w:p>
        </w:tc>
        <w:tc>
          <w:tcPr>
            <w:tcW w:w="2044" w:type="dxa"/>
            <w:vAlign w:val="center"/>
          </w:tcPr>
          <w:p>
            <w:pPr>
              <w:pStyle w:val="4"/>
              <w:rPr>
                <w:rFonts w:hint="eastAsia" w:ascii="Noto Sans Mono CJK JP Regular" w:hAnsi="Noto Sans Mono CJK JP Regular" w:eastAsia="华文细黑" w:cs="Noto Sans Mono CJK JP Regular"/>
                <w:kern w:val="0"/>
                <w:szCs w:val="21"/>
                <w:lang w:val="zh-CN"/>
              </w:rPr>
            </w:pPr>
            <w:r>
              <w:rPr>
                <w:rFonts w:hint="eastAsia" w:ascii="Noto Sans Mono CJK JP Regular" w:hAnsi="Noto Sans Mono CJK JP Regular" w:eastAsia="华文细黑" w:cs="Noto Sans Mono CJK JP Regular"/>
                <w:kern w:val="0"/>
                <w:szCs w:val="21"/>
                <w:lang w:val="zh-CN"/>
              </w:rPr>
              <w:t>内六角扳手</w:t>
            </w:r>
          </w:p>
        </w:tc>
        <w:tc>
          <w:tcPr>
            <w:tcW w:w="741" w:type="dxa"/>
            <w:vAlign w:val="center"/>
          </w:tcPr>
          <w:p>
            <w:pPr>
              <w:pStyle w:val="4"/>
              <w:rPr>
                <w:rFonts w:hint="eastAsia" w:ascii="Noto Sans Mono CJK JP Regular" w:hAnsi="Noto Sans Mono CJK JP Regular" w:eastAsia="华文细黑" w:cs="Noto Sans Mono CJK JP Regular"/>
                <w:kern w:val="0"/>
                <w:szCs w:val="21"/>
                <w:lang w:val="zh-CN"/>
              </w:rPr>
            </w:pPr>
            <w:r>
              <w:rPr>
                <w:rFonts w:hint="eastAsia" w:ascii="Noto Sans Mono CJK JP Regular" w:hAnsi="Noto Sans Mono CJK JP Regular" w:eastAsia="华文细黑" w:cs="Noto Sans Mono CJK JP Regular"/>
                <w:kern w:val="0"/>
                <w:szCs w:val="21"/>
                <w:lang w:val="zh-CN"/>
              </w:rPr>
              <w:t>1</w:t>
            </w:r>
          </w:p>
        </w:tc>
        <w:tc>
          <w:tcPr>
            <w:tcW w:w="4719" w:type="dxa"/>
            <w:vAlign w:val="center"/>
          </w:tcPr>
          <w:p>
            <w:pPr>
              <w:pStyle w:val="4"/>
              <w:rPr>
                <w:rFonts w:hint="eastAsia" w:ascii="Noto Sans Mono CJK JP Regular" w:hAnsi="Noto Sans Mono CJK JP Regular" w:eastAsia="华文细黑" w:cs="Noto Sans Mono CJK JP Regular"/>
                <w:kern w:val="0"/>
                <w:szCs w:val="21"/>
                <w:lang w:val="zh-CN"/>
              </w:rPr>
            </w:pPr>
            <w:r>
              <w:rPr>
                <w:rFonts w:hint="eastAsia" w:ascii="Noto Sans Mono CJK JP Regular" w:hAnsi="Noto Sans Mono CJK JP Regular" w:eastAsia="华文细黑" w:cs="Noto Sans Mono CJK JP Regular"/>
                <w:kern w:val="0"/>
                <w:szCs w:val="21"/>
                <w:lang w:val="zh-CN"/>
              </w:rPr>
              <w:t>1套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96" w:type="dxa"/>
            <w:vAlign w:val="center"/>
          </w:tcPr>
          <w:p>
            <w:pPr>
              <w:pStyle w:val="4"/>
              <w:rPr>
                <w:rFonts w:hint="eastAsia" w:ascii="Noto Sans Mono CJK JP Regular" w:hAnsi="Noto Sans Mono CJK JP Regular" w:eastAsia="华文细黑" w:cs="Noto Sans Mono CJK JP Regular"/>
                <w:kern w:val="0"/>
                <w:szCs w:val="21"/>
                <w:lang w:val="zh-CN"/>
              </w:rPr>
            </w:pPr>
            <w:r>
              <w:rPr>
                <w:rFonts w:hint="eastAsia" w:ascii="Noto Sans Mono CJK JP Regular" w:hAnsi="Noto Sans Mono CJK JP Regular" w:eastAsia="华文细黑" w:cs="Noto Sans Mono CJK JP Regular"/>
                <w:kern w:val="0"/>
                <w:szCs w:val="21"/>
                <w:lang w:val="zh-CN"/>
              </w:rPr>
              <w:t>9</w:t>
            </w:r>
          </w:p>
        </w:tc>
        <w:tc>
          <w:tcPr>
            <w:tcW w:w="2044" w:type="dxa"/>
            <w:vAlign w:val="center"/>
          </w:tcPr>
          <w:p>
            <w:pPr>
              <w:pStyle w:val="4"/>
              <w:rPr>
                <w:rFonts w:hint="eastAsia" w:ascii="Noto Sans Mono CJK JP Regular" w:hAnsi="Noto Sans Mono CJK JP Regular" w:eastAsia="华文细黑" w:cs="Noto Sans Mono CJK JP Regular"/>
                <w:kern w:val="0"/>
                <w:szCs w:val="21"/>
                <w:lang w:val="zh-CN"/>
              </w:rPr>
            </w:pPr>
            <w:r>
              <w:rPr>
                <w:rFonts w:hint="eastAsia" w:ascii="Noto Sans Mono CJK JP Regular" w:hAnsi="Noto Sans Mono CJK JP Regular" w:eastAsia="华文细黑" w:cs="Noto Sans Mono CJK JP Regular"/>
                <w:kern w:val="0"/>
                <w:szCs w:val="21"/>
                <w:lang w:val="zh-CN"/>
              </w:rPr>
              <w:t>安全保护用品</w:t>
            </w:r>
          </w:p>
        </w:tc>
        <w:tc>
          <w:tcPr>
            <w:tcW w:w="741" w:type="dxa"/>
            <w:vAlign w:val="center"/>
          </w:tcPr>
          <w:p>
            <w:pPr>
              <w:pStyle w:val="4"/>
              <w:rPr>
                <w:rFonts w:hint="eastAsia" w:ascii="Noto Sans Mono CJK JP Regular" w:hAnsi="Noto Sans Mono CJK JP Regular" w:eastAsia="华文细黑" w:cs="Noto Sans Mono CJK JP Regular"/>
                <w:kern w:val="0"/>
                <w:szCs w:val="21"/>
                <w:lang w:val="zh-CN"/>
              </w:rPr>
            </w:pPr>
            <w:r>
              <w:rPr>
                <w:rFonts w:hint="eastAsia" w:ascii="Noto Sans Mono CJK JP Regular" w:hAnsi="Noto Sans Mono CJK JP Regular" w:eastAsia="华文细黑" w:cs="Noto Sans Mono CJK JP Regular"/>
                <w:kern w:val="0"/>
                <w:szCs w:val="21"/>
                <w:lang w:val="zh-CN"/>
              </w:rPr>
              <w:t>1</w:t>
            </w:r>
          </w:p>
        </w:tc>
        <w:tc>
          <w:tcPr>
            <w:tcW w:w="4719" w:type="dxa"/>
            <w:vAlign w:val="center"/>
          </w:tcPr>
          <w:p>
            <w:pPr>
              <w:pStyle w:val="4"/>
              <w:rPr>
                <w:rFonts w:hint="eastAsia" w:ascii="Noto Sans Mono CJK JP Regular" w:hAnsi="Noto Sans Mono CJK JP Regular" w:eastAsia="华文细黑" w:cs="Noto Sans Mono CJK JP Regular"/>
                <w:kern w:val="0"/>
                <w:szCs w:val="21"/>
                <w:lang w:val="zh-CN"/>
              </w:rPr>
            </w:pPr>
            <w:r>
              <w:rPr>
                <w:rFonts w:hint="eastAsia" w:ascii="Noto Sans Mono CJK JP Regular" w:hAnsi="Noto Sans Mono CJK JP Regular" w:eastAsia="华文细黑" w:cs="Noto Sans Mono CJK JP Regular"/>
                <w:kern w:val="0"/>
                <w:szCs w:val="21"/>
                <w:lang w:val="zh-CN"/>
              </w:rPr>
              <w:t>绝缘鞋、工作服、安全头盔、防护镜、绝缘手套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96" w:type="dxa"/>
            <w:vAlign w:val="center"/>
          </w:tcPr>
          <w:p>
            <w:pPr>
              <w:pStyle w:val="4"/>
              <w:rPr>
                <w:rFonts w:hint="eastAsia" w:ascii="Noto Sans Mono CJK JP Regular" w:hAnsi="Noto Sans Mono CJK JP Regular" w:eastAsia="华文细黑" w:cs="Noto Sans Mono CJK JP Regular"/>
                <w:kern w:val="0"/>
                <w:szCs w:val="21"/>
                <w:lang w:val="zh-CN"/>
              </w:rPr>
            </w:pPr>
            <w:r>
              <w:rPr>
                <w:rFonts w:hint="eastAsia" w:ascii="Noto Sans Mono CJK JP Regular" w:hAnsi="Noto Sans Mono CJK JP Regular" w:eastAsia="华文细黑" w:cs="Noto Sans Mono CJK JP Regular"/>
                <w:kern w:val="0"/>
                <w:szCs w:val="21"/>
                <w:lang w:val="zh-CN"/>
              </w:rPr>
              <w:t>10</w:t>
            </w:r>
          </w:p>
        </w:tc>
        <w:tc>
          <w:tcPr>
            <w:tcW w:w="2044" w:type="dxa"/>
            <w:vAlign w:val="center"/>
          </w:tcPr>
          <w:p>
            <w:pPr>
              <w:pStyle w:val="4"/>
              <w:rPr>
                <w:rFonts w:hint="eastAsia" w:ascii="Noto Sans Mono CJK JP Regular" w:hAnsi="Noto Sans Mono CJK JP Regular" w:eastAsia="华文细黑" w:cs="Noto Sans Mono CJK JP Regular"/>
                <w:kern w:val="0"/>
                <w:szCs w:val="21"/>
                <w:lang w:val="zh-CN"/>
              </w:rPr>
            </w:pPr>
            <w:r>
              <w:rPr>
                <w:rFonts w:hint="eastAsia" w:ascii="Noto Sans Mono CJK JP Regular" w:hAnsi="Noto Sans Mono CJK JP Regular" w:eastAsia="华文细黑" w:cs="Noto Sans Mono CJK JP Regular"/>
                <w:kern w:val="0"/>
                <w:szCs w:val="21"/>
                <w:lang w:val="zh-CN"/>
              </w:rPr>
              <w:t>文具</w:t>
            </w:r>
          </w:p>
        </w:tc>
        <w:tc>
          <w:tcPr>
            <w:tcW w:w="741" w:type="dxa"/>
            <w:vAlign w:val="center"/>
          </w:tcPr>
          <w:p>
            <w:pPr>
              <w:pStyle w:val="4"/>
              <w:rPr>
                <w:rFonts w:hint="eastAsia" w:ascii="Noto Sans Mono CJK JP Regular" w:hAnsi="Noto Sans Mono CJK JP Regular" w:eastAsia="华文细黑" w:cs="Noto Sans Mono CJK JP Regular"/>
                <w:kern w:val="0"/>
                <w:szCs w:val="21"/>
                <w:lang w:val="zh-CN"/>
              </w:rPr>
            </w:pPr>
            <w:r>
              <w:rPr>
                <w:rFonts w:hint="eastAsia" w:ascii="Noto Sans Mono CJK JP Regular" w:hAnsi="Noto Sans Mono CJK JP Regular" w:eastAsia="华文细黑" w:cs="Noto Sans Mono CJK JP Regular"/>
                <w:kern w:val="0"/>
                <w:szCs w:val="21"/>
                <w:lang w:val="zh-CN"/>
              </w:rPr>
              <w:t>1</w:t>
            </w:r>
          </w:p>
        </w:tc>
        <w:tc>
          <w:tcPr>
            <w:tcW w:w="4719" w:type="dxa"/>
            <w:vAlign w:val="center"/>
          </w:tcPr>
          <w:p>
            <w:pPr>
              <w:pStyle w:val="4"/>
              <w:rPr>
                <w:rFonts w:hint="eastAsia" w:ascii="Noto Sans Mono CJK JP Regular" w:hAnsi="Noto Sans Mono CJK JP Regular" w:eastAsia="华文细黑" w:cs="Noto Sans Mono CJK JP Regular"/>
                <w:kern w:val="0"/>
                <w:szCs w:val="21"/>
                <w:lang w:val="zh-CN"/>
              </w:rPr>
            </w:pPr>
            <w:r>
              <w:rPr>
                <w:rFonts w:hint="eastAsia" w:ascii="Noto Sans Mono CJK JP Regular" w:hAnsi="Noto Sans Mono CJK JP Regular" w:eastAsia="华文细黑" w:cs="Noto Sans Mono CJK JP Regular"/>
                <w:kern w:val="0"/>
                <w:szCs w:val="21"/>
                <w:lang w:val="zh-CN"/>
              </w:rPr>
              <w:t>含钢笔、铅笔、橡皮、三角板、线号笔</w:t>
            </w:r>
          </w:p>
        </w:tc>
      </w:tr>
    </w:tbl>
    <w:p>
      <w:pPr>
        <w:spacing w:before="62" w:beforeLines="20" w:after="156" w:afterLines="50" w:line="360" w:lineRule="auto"/>
        <w:ind w:firstLine="420" w:firstLineChars="200"/>
        <w:rPr>
          <w:rFonts w:hint="eastAsia" w:ascii="仿宋" w:hAnsi="仿宋" w:eastAsia="仿宋"/>
          <w:sz w:val="24"/>
          <w:lang w:val="zh-CN"/>
        </w:rPr>
      </w:pPr>
      <w:r>
        <w:rPr>
          <w:rFonts w:hint="eastAsia" w:ascii="Noto Sans Mono CJK JP Regular" w:hAnsi="Noto Sans Mono CJK JP Regular" w:eastAsia="华文细黑" w:cs="Noto Sans Mono CJK JP Regular"/>
          <w:kern w:val="0"/>
          <w:szCs w:val="21"/>
          <w:lang w:val="zh-CN"/>
        </w:rPr>
        <w:t>注：选手不得使用电动工具。</w:t>
      </w:r>
    </w:p>
    <w:p>
      <w:pPr>
        <w:spacing w:before="156" w:beforeLines="50" w:after="156" w:afterLines="50" w:line="360" w:lineRule="auto"/>
        <w:ind w:firstLine="602" w:firstLineChars="200"/>
        <w:rPr>
          <w:rFonts w:hint="eastAsia" w:ascii="仿宋" w:hAnsi="仿宋" w:eastAsia="仿宋"/>
          <w:b/>
          <w:bCs/>
          <w:sz w:val="28"/>
          <w:szCs w:val="28"/>
        </w:rPr>
      </w:pPr>
      <w:r>
        <w:rPr>
          <w:rFonts w:hint="eastAsia" w:ascii="黑体" w:hAnsi="黑体" w:eastAsia="黑体" w:cs="黑体"/>
          <w:b/>
          <w:bCs/>
          <w:sz w:val="30"/>
          <w:szCs w:val="30"/>
        </w:rPr>
        <w:t>七、竞赛安全</w:t>
      </w:r>
    </w:p>
    <w:p>
      <w:pPr>
        <w:spacing w:line="360" w:lineRule="auto"/>
        <w:ind w:firstLine="480"/>
        <w:rPr>
          <w:rFonts w:ascii="Calibri" w:hAnsi="Calibri" w:eastAsia="华文细黑"/>
          <w:sz w:val="24"/>
          <w:lang w:val="zh-CN"/>
        </w:rPr>
      </w:pPr>
      <w:r>
        <w:rPr>
          <w:rFonts w:hint="eastAsia" w:ascii="Calibri" w:hAnsi="Calibri" w:eastAsia="华文细黑"/>
          <w:b/>
          <w:bCs/>
          <w:sz w:val="24"/>
          <w:lang w:val="zh-CN"/>
        </w:rPr>
        <w:t>（</w:t>
      </w:r>
      <w:r>
        <w:rPr>
          <w:rFonts w:hint="eastAsia" w:ascii="Calibri" w:hAnsi="Calibri" w:eastAsia="华文细黑"/>
          <w:b/>
          <w:bCs/>
          <w:sz w:val="24"/>
        </w:rPr>
        <w:t>一</w:t>
      </w:r>
      <w:r>
        <w:rPr>
          <w:rFonts w:hint="eastAsia" w:ascii="Calibri" w:hAnsi="Calibri" w:eastAsia="华文细黑"/>
          <w:b/>
          <w:bCs/>
          <w:sz w:val="24"/>
          <w:lang w:val="zh-CN"/>
        </w:rPr>
        <w:t>）赛场安全</w:t>
      </w:r>
    </w:p>
    <w:p>
      <w:pPr>
        <w:spacing w:line="360" w:lineRule="auto"/>
        <w:ind w:firstLine="480" w:firstLineChars="200"/>
        <w:rPr>
          <w:rFonts w:hint="eastAsia" w:ascii="Noto Sans Mono CJK JP Regular" w:hAnsi="Noto Sans Mono CJK JP Regular" w:eastAsia="华文细黑" w:cs="Noto Sans Mono CJK JP Regular"/>
          <w:kern w:val="0"/>
          <w:sz w:val="24"/>
          <w:szCs w:val="22"/>
          <w:lang w:val="zh-CN"/>
        </w:rPr>
      </w:pPr>
      <w:r>
        <w:rPr>
          <w:rFonts w:hint="eastAsia" w:ascii="Noto Sans Mono CJK JP Regular" w:hAnsi="Noto Sans Mono CJK JP Regular" w:eastAsia="华文细黑" w:cs="Noto Sans Mono CJK JP Regular"/>
          <w:kern w:val="0"/>
          <w:sz w:val="24"/>
          <w:szCs w:val="22"/>
          <w:lang w:val="zh-CN"/>
        </w:rPr>
        <w:t>1.赛场所有人员（赛场管理与组织人员、裁判员、参赛人员以及观摩人员）不得在竞赛现场内外吸烟，不听劝阻者给予通报批评或清退比赛现场，造成严重后果的将依法处理。</w:t>
      </w:r>
    </w:p>
    <w:p>
      <w:pPr>
        <w:spacing w:line="360" w:lineRule="auto"/>
        <w:ind w:firstLine="480" w:firstLineChars="200"/>
        <w:rPr>
          <w:rFonts w:hint="eastAsia" w:ascii="Noto Sans Mono CJK JP Regular" w:hAnsi="Noto Sans Mono CJK JP Regular" w:eastAsia="华文细黑" w:cs="Noto Sans Mono CJK JP Regular"/>
          <w:kern w:val="0"/>
          <w:sz w:val="24"/>
          <w:szCs w:val="22"/>
          <w:lang w:val="zh-CN"/>
        </w:rPr>
      </w:pPr>
      <w:r>
        <w:rPr>
          <w:rFonts w:hint="eastAsia" w:ascii="Noto Sans Mono CJK JP Regular" w:hAnsi="Noto Sans Mono CJK JP Regular" w:eastAsia="华文细黑" w:cs="Noto Sans Mono CJK JP Regular"/>
          <w:kern w:val="0"/>
          <w:sz w:val="24"/>
          <w:szCs w:val="22"/>
          <w:lang w:val="zh-CN"/>
        </w:rPr>
        <w:t>2.未经允许不得使用和移动竞赛场内的任何设施设备（包括消防器材等），工具使用后放回原处。</w:t>
      </w:r>
    </w:p>
    <w:p>
      <w:pPr>
        <w:spacing w:line="360" w:lineRule="auto"/>
        <w:ind w:firstLine="480" w:firstLineChars="200"/>
        <w:rPr>
          <w:rFonts w:hint="eastAsia" w:ascii="Noto Sans Mono CJK JP Regular" w:hAnsi="Noto Sans Mono CJK JP Regular" w:eastAsia="华文细黑" w:cs="Noto Sans Mono CJK JP Regular"/>
          <w:kern w:val="0"/>
          <w:sz w:val="24"/>
          <w:szCs w:val="22"/>
          <w:lang w:val="zh-CN"/>
        </w:rPr>
      </w:pPr>
      <w:r>
        <w:rPr>
          <w:rFonts w:hint="eastAsia" w:ascii="Noto Sans Mono CJK JP Regular" w:hAnsi="Noto Sans Mono CJK JP Regular" w:eastAsia="华文细黑" w:cs="Noto Sans Mono CJK JP Regular"/>
          <w:kern w:val="0"/>
          <w:sz w:val="24"/>
          <w:szCs w:val="22"/>
          <w:lang w:val="zh-CN"/>
        </w:rPr>
        <w:t>3.选手在竞赛中必须遵守赛场的各项规章制度和操作规程，安全、合理地使用各种设施设备和工具，出现严重违章操作设备的，裁判视情节轻重进行批评和终止比赛。</w:t>
      </w:r>
    </w:p>
    <w:p>
      <w:pPr>
        <w:spacing w:line="360" w:lineRule="auto"/>
        <w:ind w:firstLine="480" w:firstLineChars="200"/>
        <w:rPr>
          <w:rFonts w:hint="eastAsia" w:ascii="Noto Sans Mono CJK JP Regular" w:hAnsi="Noto Sans Mono CJK JP Regular" w:eastAsia="华文细黑" w:cs="Noto Sans Mono CJK JP Regular"/>
          <w:kern w:val="0"/>
          <w:sz w:val="24"/>
          <w:szCs w:val="22"/>
          <w:lang w:val="zh-CN"/>
        </w:rPr>
      </w:pPr>
      <w:r>
        <w:rPr>
          <w:rFonts w:hint="eastAsia" w:ascii="Noto Sans Mono CJK JP Regular" w:hAnsi="Noto Sans Mono CJK JP Regular" w:eastAsia="华文细黑" w:cs="Noto Sans Mono CJK JP Regular"/>
          <w:kern w:val="0"/>
          <w:sz w:val="24"/>
          <w:szCs w:val="22"/>
          <w:lang w:val="zh-CN"/>
        </w:rPr>
        <w:t>4.选手参加实际操作竞赛前，应认真学习竞赛项目安全操作规程。竞赛中如发现问题应及时解决，无法解决的问题应及时向裁判员报告，裁判员视情况予以判定，并协调处理。</w:t>
      </w:r>
    </w:p>
    <w:p>
      <w:pPr>
        <w:spacing w:line="360" w:lineRule="auto"/>
        <w:ind w:firstLine="480" w:firstLineChars="200"/>
        <w:rPr>
          <w:rFonts w:hint="eastAsia" w:ascii="Noto Sans Mono CJK JP Regular" w:hAnsi="Noto Sans Mono CJK JP Regular" w:eastAsia="华文细黑" w:cs="Noto Sans Mono CJK JP Regular"/>
          <w:kern w:val="0"/>
          <w:sz w:val="24"/>
          <w:szCs w:val="22"/>
          <w:lang w:val="zh-CN"/>
        </w:rPr>
      </w:pPr>
      <w:r>
        <w:rPr>
          <w:rFonts w:hint="eastAsia" w:ascii="Noto Sans Mono CJK JP Regular" w:hAnsi="Noto Sans Mono CJK JP Regular" w:eastAsia="华文细黑" w:cs="Noto Sans Mono CJK JP Regular"/>
          <w:kern w:val="0"/>
          <w:sz w:val="24"/>
          <w:szCs w:val="22"/>
          <w:lang w:val="zh-CN"/>
        </w:rPr>
        <w:t>5.参赛选手不得触动非竞赛用仪器设备，对竞赛仪器设备造成损坏，由当事人承担赔偿责任（视情节而定），并通报批评；参赛选手若出现恶意破坏仪器设备等情节严重者将依法处理。</w:t>
      </w:r>
    </w:p>
    <w:p>
      <w:pPr>
        <w:spacing w:line="360" w:lineRule="auto"/>
        <w:ind w:firstLine="480" w:firstLineChars="200"/>
        <w:rPr>
          <w:rFonts w:hint="eastAsia" w:ascii="Noto Sans Mono CJK JP Regular" w:hAnsi="Noto Sans Mono CJK JP Regular" w:eastAsia="华文细黑" w:cs="Noto Sans Mono CJK JP Regular"/>
          <w:kern w:val="0"/>
          <w:sz w:val="24"/>
          <w:szCs w:val="22"/>
          <w:lang w:val="zh-CN"/>
        </w:rPr>
      </w:pPr>
      <w:r>
        <w:rPr>
          <w:rFonts w:hint="eastAsia" w:ascii="Noto Sans Mono CJK JP Regular" w:hAnsi="Noto Sans Mono CJK JP Regular" w:eastAsia="华文细黑" w:cs="Noto Sans Mono CJK JP Regular"/>
          <w:kern w:val="0"/>
          <w:sz w:val="24"/>
          <w:szCs w:val="22"/>
          <w:lang w:val="zh-CN"/>
        </w:rPr>
        <w:t>6.比赛期间所有进入赛区车辆、人员需凭证入内，并主动向工作人员出示。</w:t>
      </w:r>
    </w:p>
    <w:p>
      <w:pPr>
        <w:spacing w:line="360" w:lineRule="auto"/>
        <w:ind w:firstLine="480" w:firstLineChars="200"/>
        <w:rPr>
          <w:rFonts w:hint="eastAsia" w:ascii="Noto Sans Mono CJK JP Regular" w:hAnsi="Noto Sans Mono CJK JP Regular" w:eastAsia="华文细黑" w:cs="Noto Sans Mono CJK JP Regular"/>
          <w:kern w:val="0"/>
          <w:sz w:val="24"/>
          <w:szCs w:val="22"/>
          <w:lang w:val="zh-CN"/>
        </w:rPr>
      </w:pPr>
      <w:r>
        <w:rPr>
          <w:rFonts w:hint="eastAsia" w:ascii="Noto Sans Mono CJK JP Regular" w:hAnsi="Noto Sans Mono CJK JP Regular" w:eastAsia="华文细黑" w:cs="Noto Sans Mono CJK JP Regular"/>
          <w:kern w:val="0"/>
          <w:sz w:val="24"/>
          <w:szCs w:val="22"/>
          <w:lang w:val="zh-CN"/>
        </w:rPr>
        <w:t>7.赛前选手要认真阅读竞赛服务指南和竞赛秩序册。</w:t>
      </w:r>
    </w:p>
    <w:p>
      <w:pPr>
        <w:spacing w:line="360" w:lineRule="auto"/>
        <w:ind w:firstLine="480" w:firstLineChars="200"/>
        <w:rPr>
          <w:rFonts w:hint="eastAsia" w:ascii="Noto Sans Mono CJK JP Regular" w:hAnsi="Noto Sans Mono CJK JP Regular" w:eastAsia="华文细黑" w:cs="Noto Sans Mono CJK JP Regular"/>
          <w:kern w:val="0"/>
          <w:sz w:val="24"/>
          <w:szCs w:val="22"/>
          <w:lang w:val="zh-CN"/>
        </w:rPr>
      </w:pPr>
      <w:r>
        <w:rPr>
          <w:rFonts w:hint="eastAsia" w:ascii="Noto Sans Mono CJK JP Regular" w:hAnsi="Noto Sans Mono CJK JP Regular" w:eastAsia="华文细黑" w:cs="Noto Sans Mono CJK JP Regular"/>
          <w:kern w:val="0"/>
          <w:sz w:val="24"/>
          <w:szCs w:val="22"/>
          <w:lang w:val="zh-CN"/>
        </w:rPr>
        <w:t>8.各类人员须严格遵守赛场规则，严禁携带比赛严令禁止的物品入内。</w:t>
      </w:r>
    </w:p>
    <w:p>
      <w:pPr>
        <w:spacing w:line="360" w:lineRule="auto"/>
        <w:ind w:firstLine="480" w:firstLineChars="200"/>
        <w:rPr>
          <w:rFonts w:hint="eastAsia" w:ascii="Noto Sans Mono CJK JP Regular" w:hAnsi="Noto Sans Mono CJK JP Regular" w:eastAsia="华文细黑" w:cs="Noto Sans Mono CJK JP Regular"/>
          <w:kern w:val="0"/>
          <w:sz w:val="24"/>
          <w:szCs w:val="22"/>
          <w:lang w:val="zh-CN"/>
        </w:rPr>
      </w:pPr>
      <w:r>
        <w:rPr>
          <w:rFonts w:hint="eastAsia" w:ascii="Noto Sans Mono CJK JP Regular" w:hAnsi="Noto Sans Mono CJK JP Regular" w:eastAsia="华文细黑" w:cs="Noto Sans Mono CJK JP Regular"/>
          <w:kern w:val="0"/>
          <w:sz w:val="24"/>
          <w:szCs w:val="22"/>
          <w:lang w:val="zh-CN"/>
        </w:rPr>
        <w:t>9.严禁携带易燃易爆等危险品入内。</w:t>
      </w:r>
    </w:p>
    <w:p>
      <w:pPr>
        <w:spacing w:line="360" w:lineRule="auto"/>
        <w:ind w:firstLine="480" w:firstLineChars="200"/>
        <w:rPr>
          <w:rFonts w:hint="eastAsia" w:ascii="Noto Sans Mono CJK JP Regular" w:hAnsi="Noto Sans Mono CJK JP Regular" w:eastAsia="华文细黑" w:cs="Noto Sans Mono CJK JP Regular"/>
          <w:kern w:val="0"/>
          <w:sz w:val="24"/>
          <w:szCs w:val="22"/>
          <w:lang w:val="zh-CN"/>
        </w:rPr>
      </w:pPr>
      <w:r>
        <w:rPr>
          <w:rFonts w:hint="eastAsia" w:ascii="Noto Sans Mono CJK JP Regular" w:hAnsi="Noto Sans Mono CJK JP Regular" w:eastAsia="华文细黑" w:cs="Noto Sans Mono CJK JP Regular"/>
          <w:kern w:val="0"/>
          <w:sz w:val="24"/>
          <w:szCs w:val="22"/>
          <w:lang w:val="zh-CN"/>
        </w:rPr>
        <w:t>10.赛场必须留有安全通道，必须配备灭火设备，赛场应具备良好的通风、照明和操作空间的条件，做好竞赛安全、健康和公共卫生及突发事件预防与应急处理等工作。</w:t>
      </w:r>
    </w:p>
    <w:p>
      <w:pPr>
        <w:spacing w:line="360" w:lineRule="auto"/>
        <w:ind w:firstLine="480" w:firstLineChars="200"/>
        <w:rPr>
          <w:rFonts w:hint="eastAsia" w:ascii="Noto Sans Mono CJK JP Regular" w:hAnsi="Noto Sans Mono CJK JP Regular" w:eastAsia="华文细黑" w:cs="Noto Sans Mono CJK JP Regular"/>
          <w:kern w:val="0"/>
          <w:sz w:val="24"/>
          <w:szCs w:val="22"/>
          <w:lang w:val="zh-CN"/>
        </w:rPr>
      </w:pPr>
      <w:r>
        <w:rPr>
          <w:rFonts w:hint="eastAsia" w:ascii="Noto Sans Mono CJK JP Regular" w:hAnsi="Noto Sans Mono CJK JP Regular" w:eastAsia="华文细黑" w:cs="Noto Sans Mono CJK JP Regular"/>
          <w:kern w:val="0"/>
          <w:sz w:val="24"/>
          <w:szCs w:val="22"/>
          <w:lang w:val="zh-CN"/>
        </w:rPr>
        <w:t>11.安保人员发现不安全隐患及时通报赛场负责人员。</w:t>
      </w:r>
    </w:p>
    <w:p>
      <w:pPr>
        <w:spacing w:line="360" w:lineRule="auto"/>
        <w:ind w:firstLine="480" w:firstLineChars="200"/>
        <w:rPr>
          <w:rFonts w:hint="eastAsia" w:ascii="Noto Sans Mono CJK JP Regular" w:hAnsi="Noto Sans Mono CJK JP Regular" w:eastAsia="华文细黑" w:cs="Noto Sans Mono CJK JP Regular"/>
          <w:kern w:val="0"/>
          <w:sz w:val="24"/>
          <w:szCs w:val="22"/>
          <w:lang w:val="zh-CN"/>
        </w:rPr>
      </w:pPr>
      <w:r>
        <w:rPr>
          <w:rFonts w:hint="eastAsia" w:ascii="Noto Sans Mono CJK JP Regular" w:hAnsi="Noto Sans Mono CJK JP Regular" w:eastAsia="华文细黑" w:cs="Noto Sans Mono CJK JP Regular"/>
          <w:kern w:val="0"/>
          <w:sz w:val="24"/>
          <w:szCs w:val="22"/>
          <w:lang w:val="zh-CN"/>
        </w:rPr>
        <w:t>12.如遇严重突发事件，在安保人员指挥下，迅速按紧急疏散路线撤离现场。</w:t>
      </w:r>
    </w:p>
    <w:p>
      <w:pPr>
        <w:spacing w:line="360" w:lineRule="auto"/>
        <w:ind w:firstLine="480" w:firstLineChars="200"/>
        <w:rPr>
          <w:rFonts w:hint="eastAsia" w:ascii="Noto Sans Mono CJK JP Regular" w:hAnsi="Noto Sans Mono CJK JP Regular" w:eastAsia="华文细黑" w:cs="Noto Sans Mono CJK JP Regular"/>
          <w:kern w:val="0"/>
          <w:sz w:val="24"/>
          <w:szCs w:val="22"/>
          <w:lang w:val="zh-CN"/>
        </w:rPr>
      </w:pPr>
      <w:r>
        <w:rPr>
          <w:rFonts w:hint="eastAsia" w:ascii="Noto Sans Mono CJK JP Regular" w:hAnsi="Noto Sans Mono CJK JP Regular" w:eastAsia="华文细黑" w:cs="Noto Sans Mono CJK JP Regular"/>
          <w:kern w:val="0"/>
          <w:sz w:val="24"/>
          <w:szCs w:val="22"/>
          <w:lang w:val="zh-CN"/>
        </w:rPr>
        <w:t>13.赛场必须配备医护人员和必须的药品。</w:t>
      </w:r>
    </w:p>
    <w:p>
      <w:pPr>
        <w:spacing w:line="360" w:lineRule="auto"/>
        <w:ind w:firstLine="480"/>
        <w:rPr>
          <w:rFonts w:ascii="Calibri" w:hAnsi="Calibri" w:eastAsia="华文细黑"/>
          <w:b/>
          <w:bCs/>
          <w:sz w:val="24"/>
          <w:lang w:val="zh-CN"/>
        </w:rPr>
      </w:pPr>
      <w:r>
        <w:rPr>
          <w:rFonts w:hint="eastAsia" w:ascii="Calibri" w:hAnsi="Calibri" w:eastAsia="华文细黑"/>
          <w:b/>
          <w:bCs/>
          <w:sz w:val="24"/>
          <w:lang w:val="zh-CN"/>
        </w:rPr>
        <w:t>（</w:t>
      </w:r>
      <w:r>
        <w:rPr>
          <w:rFonts w:hint="eastAsia" w:ascii="Calibri" w:hAnsi="Calibri" w:eastAsia="华文细黑"/>
          <w:b/>
          <w:bCs/>
          <w:sz w:val="24"/>
        </w:rPr>
        <w:t>二</w:t>
      </w:r>
      <w:r>
        <w:rPr>
          <w:rFonts w:hint="eastAsia" w:ascii="Calibri" w:hAnsi="Calibri" w:eastAsia="华文细黑"/>
          <w:b/>
          <w:bCs/>
          <w:sz w:val="24"/>
          <w:lang w:val="zh-CN"/>
        </w:rPr>
        <w:t>）安全操作规程</w:t>
      </w:r>
    </w:p>
    <w:p>
      <w:pPr>
        <w:spacing w:line="360" w:lineRule="auto"/>
        <w:ind w:firstLine="480" w:firstLineChars="200"/>
        <w:rPr>
          <w:rFonts w:hint="eastAsia" w:ascii="Noto Sans Mono CJK JP Regular" w:hAnsi="Noto Sans Mono CJK JP Regular" w:eastAsia="华文细黑" w:cs="Noto Sans Mono CJK JP Regular"/>
          <w:kern w:val="0"/>
          <w:sz w:val="24"/>
          <w:szCs w:val="22"/>
          <w:lang w:val="zh-CN"/>
        </w:rPr>
      </w:pPr>
      <w:r>
        <w:rPr>
          <w:rFonts w:hint="eastAsia" w:ascii="Noto Sans Mono CJK JP Regular" w:hAnsi="Noto Sans Mono CJK JP Regular" w:eastAsia="华文细黑" w:cs="Noto Sans Mono CJK JP Regular"/>
          <w:kern w:val="0"/>
          <w:sz w:val="24"/>
          <w:szCs w:val="22"/>
          <w:lang w:val="zh-CN"/>
        </w:rPr>
        <w:t>1.选手必须身着工作服进行比赛，工作服要求采用纯棉材质，形式为长衣长裤，上衣采用拉链式，袖口和下摆有收紧功能，比赛全程要求做到“领口紧、袖口紧、下摆紧”的三紧要求。</w:t>
      </w:r>
    </w:p>
    <w:p>
      <w:pPr>
        <w:spacing w:line="360" w:lineRule="auto"/>
        <w:ind w:firstLine="480" w:firstLineChars="200"/>
        <w:rPr>
          <w:rFonts w:hint="eastAsia" w:ascii="Noto Sans Mono CJK JP Regular" w:hAnsi="Noto Sans Mono CJK JP Regular" w:eastAsia="华文细黑" w:cs="Noto Sans Mono CJK JP Regular"/>
          <w:kern w:val="0"/>
          <w:sz w:val="24"/>
          <w:szCs w:val="22"/>
          <w:lang w:val="zh-CN"/>
        </w:rPr>
      </w:pPr>
      <w:r>
        <w:rPr>
          <w:rFonts w:hint="eastAsia" w:ascii="Noto Sans Mono CJK JP Regular" w:hAnsi="Noto Sans Mono CJK JP Regular" w:eastAsia="华文细黑" w:cs="Noto Sans Mono CJK JP Regular"/>
          <w:kern w:val="0"/>
          <w:sz w:val="24"/>
          <w:szCs w:val="22"/>
          <w:lang w:val="zh-CN"/>
        </w:rPr>
        <w:t>2.比赛期间，长发（超过10cm）选手必须把头发束起（或盘起），并穿戴工作帽（布质）进行保护，头发不得散落在工作帽之外。</w:t>
      </w:r>
    </w:p>
    <w:p>
      <w:pPr>
        <w:spacing w:line="360" w:lineRule="auto"/>
        <w:ind w:firstLine="480" w:firstLineChars="200"/>
        <w:rPr>
          <w:rFonts w:hint="eastAsia" w:ascii="Noto Sans Mono CJK JP Regular" w:hAnsi="Noto Sans Mono CJK JP Regular" w:eastAsia="华文细黑" w:cs="Noto Sans Mono CJK JP Regular"/>
          <w:kern w:val="0"/>
          <w:sz w:val="24"/>
          <w:szCs w:val="22"/>
          <w:lang w:val="zh-CN"/>
        </w:rPr>
      </w:pPr>
      <w:r>
        <w:rPr>
          <w:rFonts w:hint="eastAsia" w:ascii="Noto Sans Mono CJK JP Regular" w:hAnsi="Noto Sans Mono CJK JP Regular" w:eastAsia="华文细黑" w:cs="Noto Sans Mono CJK JP Regular"/>
          <w:kern w:val="0"/>
          <w:sz w:val="24"/>
          <w:szCs w:val="22"/>
          <w:lang w:val="zh-CN"/>
        </w:rPr>
        <w:t>3.选手在进行安装布线操作时，必须穿戴硬壳防护头盔（或塑料安全头盔），防止高处掉落物品或磕碰导致受伤。</w:t>
      </w:r>
    </w:p>
    <w:p>
      <w:pPr>
        <w:spacing w:line="360" w:lineRule="auto"/>
        <w:ind w:firstLine="480" w:firstLineChars="200"/>
        <w:rPr>
          <w:rFonts w:hint="eastAsia" w:ascii="Noto Sans Mono CJK JP Regular" w:hAnsi="Noto Sans Mono CJK JP Regular" w:eastAsia="华文细黑" w:cs="Noto Sans Mono CJK JP Regular"/>
          <w:kern w:val="0"/>
          <w:sz w:val="24"/>
          <w:szCs w:val="22"/>
          <w:lang w:val="zh-CN"/>
        </w:rPr>
      </w:pPr>
      <w:r>
        <w:rPr>
          <w:rFonts w:hint="eastAsia" w:ascii="Noto Sans Mono CJK JP Regular" w:hAnsi="Noto Sans Mono CJK JP Regular" w:eastAsia="华文细黑" w:cs="Noto Sans Mono CJK JP Regular"/>
          <w:kern w:val="0"/>
          <w:sz w:val="24"/>
          <w:szCs w:val="22"/>
          <w:lang w:val="zh-CN"/>
        </w:rPr>
        <w:t>4.选手比赛全程需穿着绝缘鞋，绝缘鞋同时要求具有防砸、防穿刺功能。</w:t>
      </w:r>
    </w:p>
    <w:p>
      <w:pPr>
        <w:spacing w:line="360" w:lineRule="auto"/>
        <w:ind w:firstLine="480" w:firstLineChars="200"/>
        <w:rPr>
          <w:rFonts w:hint="eastAsia" w:ascii="Noto Sans Mono CJK JP Regular" w:hAnsi="Noto Sans Mono CJK JP Regular" w:eastAsia="华文细黑" w:cs="Noto Sans Mono CJK JP Regular"/>
          <w:kern w:val="0"/>
          <w:sz w:val="24"/>
          <w:szCs w:val="22"/>
          <w:lang w:val="zh-CN"/>
        </w:rPr>
      </w:pPr>
      <w:r>
        <w:rPr>
          <w:rFonts w:hint="eastAsia" w:ascii="Noto Sans Mono CJK JP Regular" w:hAnsi="Noto Sans Mono CJK JP Regular" w:eastAsia="华文细黑" w:cs="Noto Sans Mono CJK JP Regular"/>
          <w:kern w:val="0"/>
          <w:sz w:val="24"/>
          <w:szCs w:val="22"/>
          <w:lang w:val="zh-CN"/>
        </w:rPr>
        <w:t>5.竞赛过程中，选手需要全程保持竞赛区域的环境整洁有序，防止绊倒，摔倒。</w:t>
      </w:r>
    </w:p>
    <w:p>
      <w:pPr>
        <w:spacing w:line="360" w:lineRule="auto"/>
        <w:ind w:firstLine="480" w:firstLineChars="200"/>
        <w:rPr>
          <w:rFonts w:hint="eastAsia" w:ascii="Noto Sans Mono CJK JP Regular" w:hAnsi="Noto Sans Mono CJK JP Regular" w:eastAsia="华文细黑" w:cs="Noto Sans Mono CJK JP Regular"/>
          <w:kern w:val="0"/>
          <w:sz w:val="24"/>
          <w:szCs w:val="22"/>
          <w:lang w:val="zh-CN"/>
        </w:rPr>
      </w:pPr>
      <w:r>
        <w:rPr>
          <w:rFonts w:hint="eastAsia" w:ascii="Noto Sans Mono CJK JP Regular" w:hAnsi="Noto Sans Mono CJK JP Regular" w:eastAsia="华文细黑" w:cs="Noto Sans Mono CJK JP Regular"/>
          <w:kern w:val="0"/>
          <w:sz w:val="24"/>
          <w:szCs w:val="22"/>
          <w:lang w:val="zh-CN"/>
        </w:rPr>
        <w:t>6.选手使用的工具必须符合电气安全要求，不得使用木工改锥进行电气安装操作。</w:t>
      </w:r>
    </w:p>
    <w:p>
      <w:pPr>
        <w:spacing w:line="360" w:lineRule="auto"/>
        <w:ind w:firstLine="480" w:firstLineChars="200"/>
        <w:rPr>
          <w:rFonts w:hint="eastAsia" w:ascii="Noto Sans Mono CJK JP Regular" w:hAnsi="Noto Sans Mono CJK JP Regular" w:eastAsia="华文细黑" w:cs="Noto Sans Mono CJK JP Regular"/>
          <w:kern w:val="0"/>
          <w:sz w:val="24"/>
          <w:szCs w:val="22"/>
          <w:lang w:val="zh-CN"/>
        </w:rPr>
      </w:pPr>
      <w:r>
        <w:rPr>
          <w:rFonts w:hint="eastAsia" w:ascii="Noto Sans Mono CJK JP Regular" w:hAnsi="Noto Sans Mono CJK JP Regular" w:eastAsia="华文细黑" w:cs="Noto Sans Mono CJK JP Regular"/>
          <w:kern w:val="0"/>
          <w:sz w:val="24"/>
          <w:szCs w:val="22"/>
          <w:lang w:val="zh-CN"/>
        </w:rPr>
        <w:t>7.选手必须使用正规，带有安全认证标志的仪表进行测试和测量。</w:t>
      </w:r>
    </w:p>
    <w:p>
      <w:pPr>
        <w:spacing w:line="360" w:lineRule="auto"/>
        <w:ind w:firstLine="480" w:firstLineChars="200"/>
        <w:rPr>
          <w:rFonts w:hint="eastAsia" w:ascii="Noto Sans Mono CJK JP Regular" w:hAnsi="Noto Sans Mono CJK JP Regular" w:eastAsia="华文细黑" w:cs="Noto Sans Mono CJK JP Regular"/>
          <w:kern w:val="0"/>
          <w:sz w:val="24"/>
          <w:szCs w:val="22"/>
          <w:lang w:val="zh-CN"/>
        </w:rPr>
      </w:pPr>
      <w:r>
        <w:rPr>
          <w:rFonts w:hint="eastAsia" w:ascii="Noto Sans Mono CJK JP Regular" w:hAnsi="Noto Sans Mono CJK JP Regular" w:eastAsia="华文细黑" w:cs="Noto Sans Mono CJK JP Regular"/>
          <w:kern w:val="0"/>
          <w:sz w:val="24"/>
          <w:szCs w:val="22"/>
          <w:lang w:val="zh-CN"/>
        </w:rPr>
        <w:t>8.选手必须爱护竞赛设备和设施，不得使用不合理的方式对设备和设施进行操作，不得使用错误的或者不合理的工具对设备设施进行操作。</w:t>
      </w:r>
    </w:p>
    <w:p>
      <w:pPr>
        <w:spacing w:line="360" w:lineRule="auto"/>
        <w:ind w:firstLine="480" w:firstLineChars="200"/>
        <w:rPr>
          <w:rFonts w:hint="eastAsia" w:ascii="Noto Sans Mono CJK JP Regular" w:hAnsi="Noto Sans Mono CJK JP Regular" w:eastAsia="华文细黑" w:cs="Noto Sans Mono CJK JP Regular"/>
          <w:kern w:val="0"/>
          <w:sz w:val="24"/>
          <w:szCs w:val="22"/>
          <w:lang w:val="zh-CN"/>
        </w:rPr>
      </w:pPr>
      <w:r>
        <w:rPr>
          <w:rFonts w:hint="eastAsia" w:ascii="Noto Sans Mono CJK JP Regular" w:hAnsi="Noto Sans Mono CJK JP Regular" w:eastAsia="华文细黑" w:cs="Noto Sans Mono CJK JP Regular"/>
          <w:kern w:val="0"/>
          <w:sz w:val="24"/>
          <w:szCs w:val="22"/>
          <w:lang w:val="zh-CN"/>
        </w:rPr>
        <w:t>9.选手安装和配线完成，第一次进行上电测试时，选手必须佩带护目镜和绝缘手套进行操作。</w:t>
      </w:r>
    </w:p>
    <w:p>
      <w:pPr>
        <w:spacing w:line="360" w:lineRule="auto"/>
        <w:ind w:firstLine="480" w:firstLineChars="200"/>
        <w:rPr>
          <w:rFonts w:hint="eastAsia" w:ascii="Noto Sans Mono CJK JP Regular" w:hAnsi="Noto Sans Mono CJK JP Regular" w:eastAsia="华文细黑" w:cs="Noto Sans Mono CJK JP Regular"/>
          <w:kern w:val="0"/>
          <w:sz w:val="24"/>
          <w:szCs w:val="22"/>
          <w:lang w:val="zh-CN"/>
        </w:rPr>
      </w:pPr>
      <w:r>
        <w:rPr>
          <w:rFonts w:hint="eastAsia" w:ascii="Noto Sans Mono CJK JP Regular" w:hAnsi="Noto Sans Mono CJK JP Regular" w:eastAsia="华文细黑" w:cs="Noto Sans Mono CJK JP Regular"/>
          <w:kern w:val="0"/>
          <w:sz w:val="24"/>
          <w:szCs w:val="22"/>
          <w:lang w:val="zh-CN"/>
        </w:rPr>
        <w:t>10.对设备进行测试时，选手不得采用人为强制手段对设备和器件操作。</w:t>
      </w:r>
    </w:p>
    <w:p>
      <w:pPr>
        <w:spacing w:line="360" w:lineRule="auto"/>
        <w:ind w:firstLine="480" w:firstLineChars="200"/>
        <w:rPr>
          <w:rFonts w:hint="eastAsia" w:ascii="Noto Sans Mono CJK JP Regular" w:hAnsi="Noto Sans Mono CJK JP Regular" w:eastAsia="华文细黑" w:cs="Noto Sans Mono CJK JP Regular"/>
          <w:kern w:val="0"/>
          <w:sz w:val="24"/>
          <w:szCs w:val="22"/>
          <w:lang w:val="zh-CN"/>
        </w:rPr>
      </w:pPr>
      <w:r>
        <w:rPr>
          <w:rFonts w:hint="eastAsia" w:ascii="Noto Sans Mono CJK JP Regular" w:hAnsi="Noto Sans Mono CJK JP Regular" w:eastAsia="华文细黑" w:cs="Noto Sans Mono CJK JP Regular"/>
          <w:kern w:val="0"/>
          <w:sz w:val="24"/>
          <w:szCs w:val="22"/>
          <w:lang w:val="zh-CN"/>
        </w:rPr>
        <w:t>11.在低处操作时，必须采用单腿跪姿进行操作，禁止采用蹲姿，坐姿进行操作。</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bookmarkStart w:id="25" w:name="_Hlk229692034"/>
      <w:r>
        <w:rPr>
          <w:rFonts w:hint="eastAsia" w:ascii="Noto Sans Mono CJK JP Regular" w:hAnsi="Noto Sans Mono CJK JP Regular" w:eastAsia="华文细黑" w:cs="Noto Sans Mono CJK JP Regular"/>
          <w:kern w:val="0"/>
          <w:sz w:val="24"/>
          <w:szCs w:val="22"/>
          <w:lang w:val="zh-CN"/>
        </w:rPr>
        <w:t>12.</w:t>
      </w:r>
      <w:r>
        <w:rPr>
          <w:rFonts w:hint="eastAsia" w:ascii="MicrosoftYaHei" w:eastAsia="MicrosoftYaHei" w:cs="MicrosoftYaHei"/>
          <w:kern w:val="0"/>
          <w:sz w:val="24"/>
        </w:rPr>
        <w:t xml:space="preserve"> </w:t>
      </w:r>
      <w:r>
        <w:rPr>
          <w:rFonts w:hint="eastAsia" w:ascii="Noto Sans Mono CJK JP Regular" w:hAnsi="Noto Sans Mono CJK JP Regular" w:eastAsia="华文细黑" w:cs="Noto Sans Mono CJK JP Regular"/>
          <w:kern w:val="0"/>
          <w:sz w:val="24"/>
          <w:szCs w:val="22"/>
        </w:rPr>
        <w:t>设备进行合闸和按钮操作时，必须使用右手操作，不得双手同时操作设</w:t>
      </w:r>
    </w:p>
    <w:p>
      <w:pPr>
        <w:spacing w:line="360" w:lineRule="auto"/>
        <w:rPr>
          <w:rFonts w:hint="eastAsia" w:ascii="Noto Sans Mono CJK JP Regular" w:hAnsi="Noto Sans Mono CJK JP Regular" w:eastAsia="华文细黑" w:cs="Noto Sans Mono CJK JP Regular"/>
          <w:kern w:val="0"/>
          <w:sz w:val="24"/>
          <w:szCs w:val="22"/>
          <w:lang w:val="zh-CN"/>
        </w:rPr>
      </w:pPr>
      <w:r>
        <w:rPr>
          <w:rFonts w:hint="eastAsia" w:ascii="Noto Sans Mono CJK JP Regular" w:hAnsi="Noto Sans Mono CJK JP Regular" w:eastAsia="华文细黑" w:cs="Noto Sans Mono CJK JP Regular"/>
          <w:kern w:val="0"/>
          <w:sz w:val="24"/>
          <w:szCs w:val="22"/>
        </w:rPr>
        <w:t>备。</w:t>
      </w:r>
    </w:p>
    <w:bookmarkEnd w:id="25"/>
    <w:p>
      <w:pPr>
        <w:spacing w:line="360" w:lineRule="auto"/>
        <w:ind w:firstLine="480" w:firstLineChars="200"/>
        <w:rPr>
          <w:rFonts w:hint="eastAsia" w:ascii="Noto Sans Mono CJK JP Regular" w:hAnsi="Noto Sans Mono CJK JP Regular" w:eastAsia="华文细黑" w:cs="Noto Sans Mono CJK JP Regular"/>
          <w:kern w:val="0"/>
          <w:sz w:val="24"/>
          <w:szCs w:val="22"/>
          <w:lang w:val="zh-CN"/>
        </w:rPr>
      </w:pPr>
      <w:r>
        <w:rPr>
          <w:rFonts w:hint="eastAsia" w:ascii="Noto Sans Mono CJK JP Regular" w:hAnsi="Noto Sans Mono CJK JP Regular" w:eastAsia="华文细黑" w:cs="Noto Sans Mono CJK JP Regular"/>
          <w:kern w:val="0"/>
          <w:sz w:val="24"/>
          <w:szCs w:val="22"/>
          <w:lang w:val="zh-CN"/>
        </w:rPr>
        <w:t>13.赛场内禁止携带和存放易燃、易爆、挥发性物质和材料。</w:t>
      </w:r>
    </w:p>
    <w:p>
      <w:pPr>
        <w:spacing w:before="156" w:beforeLines="50" w:after="156" w:afterLines="50" w:line="360" w:lineRule="auto"/>
        <w:ind w:firstLine="602" w:firstLineChars="200"/>
        <w:rPr>
          <w:rFonts w:hint="eastAsia" w:ascii="黑体" w:hAnsi="黑体" w:eastAsia="黑体" w:cs="黑体"/>
          <w:b/>
          <w:bCs/>
          <w:sz w:val="30"/>
          <w:szCs w:val="30"/>
        </w:rPr>
      </w:pPr>
      <w:r>
        <w:rPr>
          <w:rFonts w:hint="eastAsia" w:ascii="黑体" w:hAnsi="黑体" w:eastAsia="黑体" w:cs="黑体"/>
          <w:b/>
          <w:bCs/>
          <w:sz w:val="30"/>
          <w:szCs w:val="30"/>
        </w:rPr>
        <w:t>八、开放赛场</w:t>
      </w:r>
    </w:p>
    <w:p>
      <w:pPr>
        <w:spacing w:line="360" w:lineRule="auto"/>
        <w:ind w:firstLine="480" w:firstLineChars="200"/>
        <w:rPr>
          <w:rFonts w:hint="eastAsia" w:ascii="Noto Sans Mono CJK JP Regular" w:hAnsi="Noto Sans Mono CJK JP Regular" w:eastAsia="华文细黑" w:cs="Noto Sans Mono CJK JP Regular"/>
          <w:kern w:val="0"/>
          <w:sz w:val="24"/>
          <w:szCs w:val="22"/>
          <w:lang w:val="zh-CN"/>
        </w:rPr>
      </w:pPr>
      <w:r>
        <w:rPr>
          <w:rFonts w:hint="eastAsia" w:ascii="Noto Sans Mono CJK JP Regular" w:hAnsi="Noto Sans Mono CJK JP Regular" w:eastAsia="华文细黑" w:cs="Noto Sans Mono CJK JP Regular"/>
          <w:kern w:val="0"/>
          <w:sz w:val="24"/>
          <w:szCs w:val="22"/>
          <w:lang w:val="zh-CN"/>
        </w:rPr>
        <w:t>（一）比赛承办方应在不影响选手比赛和裁判员工作的前提下提供开放式场地供参观者观摩。</w:t>
      </w:r>
    </w:p>
    <w:p>
      <w:pPr>
        <w:spacing w:line="360" w:lineRule="auto"/>
        <w:ind w:firstLine="480" w:firstLineChars="200"/>
        <w:rPr>
          <w:rFonts w:hint="eastAsia" w:ascii="Noto Sans Mono CJK JP Regular" w:hAnsi="Noto Sans Mono CJK JP Regular" w:eastAsia="华文细黑" w:cs="Noto Sans Mono CJK JP Regular"/>
          <w:kern w:val="0"/>
          <w:sz w:val="24"/>
          <w:szCs w:val="22"/>
          <w:lang w:val="zh-CN"/>
        </w:rPr>
      </w:pPr>
      <w:r>
        <w:rPr>
          <w:rFonts w:hint="eastAsia" w:ascii="Noto Sans Mono CJK JP Regular" w:hAnsi="Noto Sans Mono CJK JP Regular" w:eastAsia="华文细黑" w:cs="Noto Sans Mono CJK JP Regular"/>
          <w:kern w:val="0"/>
          <w:sz w:val="24"/>
          <w:szCs w:val="22"/>
          <w:lang w:val="zh-CN"/>
        </w:rPr>
        <w:t>（二）比赛承办方应积极做好竞赛的宣传工作。</w:t>
      </w:r>
    </w:p>
    <w:p>
      <w:pPr>
        <w:spacing w:line="360" w:lineRule="auto"/>
        <w:ind w:firstLine="480" w:firstLineChars="200"/>
        <w:rPr>
          <w:rFonts w:hint="eastAsia" w:ascii="Noto Sans Mono CJK JP Regular" w:hAnsi="Noto Sans Mono CJK JP Regular" w:eastAsia="华文细黑" w:cs="Noto Sans Mono CJK JP Regular"/>
          <w:kern w:val="0"/>
          <w:sz w:val="24"/>
          <w:szCs w:val="22"/>
          <w:lang w:val="zh-CN"/>
        </w:rPr>
      </w:pPr>
      <w:r>
        <w:rPr>
          <w:rFonts w:hint="eastAsia" w:ascii="Noto Sans Mono CJK JP Regular" w:hAnsi="Noto Sans Mono CJK JP Regular" w:eastAsia="华文细黑" w:cs="Noto Sans Mono CJK JP Regular"/>
          <w:kern w:val="0"/>
          <w:sz w:val="24"/>
          <w:szCs w:val="22"/>
          <w:lang w:val="zh-CN"/>
        </w:rPr>
        <w:t>（三）参观人员需经过登记审核，安检和检查携带的物品后，方可进入赛场。</w:t>
      </w:r>
    </w:p>
    <w:p>
      <w:pPr>
        <w:spacing w:line="360" w:lineRule="auto"/>
        <w:ind w:firstLine="480" w:firstLineChars="200"/>
        <w:rPr>
          <w:rFonts w:hint="eastAsia" w:ascii="Noto Sans Mono CJK JP Regular" w:hAnsi="Noto Sans Mono CJK JP Regular" w:eastAsia="华文细黑" w:cs="Noto Sans Mono CJK JP Regular"/>
          <w:kern w:val="0"/>
          <w:sz w:val="24"/>
          <w:szCs w:val="22"/>
          <w:lang w:val="zh-CN"/>
        </w:rPr>
      </w:pPr>
    </w:p>
    <w:sectPr>
      <w:footerReference r:id="rId3" w:type="default"/>
      <w:footerReference r:id="rId4" w:type="even"/>
      <w:pgSz w:w="11906" w:h="16838"/>
      <w:pgMar w:top="1440" w:right="1797" w:bottom="1440" w:left="1797" w:header="851" w:footer="992" w:gutter="0"/>
      <w:pgNumType w:start="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modern"/>
    <w:pitch w:val="default"/>
    <w:sig w:usb0="00000001" w:usb1="080E0000" w:usb2="00000000" w:usb3="00000000" w:csb0="00040000" w:csb1="00000000"/>
  </w:font>
  <w:font w:name="华文新魏">
    <w:panose1 w:val="02010800040101010101"/>
    <w:charset w:val="86"/>
    <w:family w:val="auto"/>
    <w:pitch w:val="default"/>
    <w:sig w:usb0="00000001" w:usb1="080F0000" w:usb2="00000000" w:usb3="00000000" w:csb0="00040000" w:csb1="00000000"/>
  </w:font>
  <w:font w:name="仿宋">
    <w:panose1 w:val="02010609060101010101"/>
    <w:charset w:val="86"/>
    <w:family w:val="modern"/>
    <w:pitch w:val="default"/>
    <w:sig w:usb0="800002BF" w:usb1="38CF7CFA" w:usb2="00000016" w:usb3="00000000" w:csb0="00040001" w:csb1="00000000"/>
  </w:font>
  <w:font w:name="Noto Sans Mono CJK JP Regular">
    <w:altName w:val="Calibri"/>
    <w:panose1 w:val="00000000000000000000"/>
    <w:charset w:val="00"/>
    <w:family w:val="swiss"/>
    <w:pitch w:val="default"/>
    <w:sig w:usb0="00000000" w:usb1="00000000" w:usb2="00000000" w:usb3="00000000" w:csb0="00000000" w:csb1="00000000"/>
  </w:font>
  <w:font w:name="华文细黑">
    <w:panose1 w:val="02010600040101010101"/>
    <w:charset w:val="86"/>
    <w:family w:val="auto"/>
    <w:pitch w:val="default"/>
    <w:sig w:usb0="00000287" w:usb1="080F0000" w:usb2="00000000" w:usb3="00000000" w:csb0="0004009F" w:csb1="DFD70000"/>
  </w:font>
  <w:font w:name="等线">
    <w:altName w:val="方正黑体简体"/>
    <w:panose1 w:val="02010600030101010101"/>
    <w:charset w:val="86"/>
    <w:family w:val="auto"/>
    <w:pitch w:val="default"/>
    <w:sig w:usb0="00000000" w:usb1="00000000" w:usb2="00000016" w:usb3="00000000" w:csb0="0004000F" w:csb1="00000000"/>
  </w:font>
  <w:font w:name="方正黑体简体">
    <w:panose1 w:val="03000509000000000000"/>
    <w:charset w:val="86"/>
    <w:family w:val="auto"/>
    <w:pitch w:val="default"/>
    <w:sig w:usb0="00000001" w:usb1="080E0000" w:usb2="00000000" w:usb3="00000000" w:csb0="00040000" w:csb1="00000000"/>
  </w:font>
  <w:font w:name="MicrosoftYaHei">
    <w:altName w:val="微软雅黑"/>
    <w:panose1 w:val="00000000000000000000"/>
    <w:charset w:val="86"/>
    <w:family w:val="auto"/>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framePr w:wrap="around" w:vAnchor="text" w:hAnchor="margin" w:xAlign="center" w:y="1"/>
      <w:rPr>
        <w:rStyle w:val="14"/>
      </w:rPr>
    </w:pPr>
    <w:r>
      <w:rPr>
        <w:rStyle w:val="14"/>
      </w:rPr>
      <w:fldChar w:fldCharType="begin"/>
    </w:r>
    <w:r>
      <w:rPr>
        <w:rStyle w:val="14"/>
      </w:rPr>
      <w:instrText xml:space="preserve">PAGE  </w:instrText>
    </w:r>
    <w:r>
      <w:rPr>
        <w:rStyle w:val="14"/>
      </w:rPr>
      <w:fldChar w:fldCharType="separate"/>
    </w:r>
    <w:r>
      <w:rPr>
        <w:rStyle w:val="14"/>
      </w:rPr>
      <w:t>8</w:t>
    </w:r>
    <w:r>
      <w:rPr>
        <w:rStyle w:val="14"/>
      </w:rPr>
      <w:fldChar w:fldCharType="end"/>
    </w:r>
  </w:p>
  <w:p>
    <w:pPr>
      <w:pStyle w:val="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framePr w:wrap="around" w:vAnchor="text" w:hAnchor="margin" w:xAlign="center" w:y="1"/>
      <w:rPr>
        <w:rStyle w:val="14"/>
      </w:rPr>
    </w:pPr>
    <w:r>
      <w:rPr>
        <w:rStyle w:val="14"/>
      </w:rPr>
      <w:fldChar w:fldCharType="begin"/>
    </w:r>
    <w:r>
      <w:rPr>
        <w:rStyle w:val="14"/>
      </w:rPr>
      <w:instrText xml:space="preserve">PAGE  </w:instrText>
    </w:r>
    <w:r>
      <w:rPr>
        <w:rStyle w:val="14"/>
      </w:rPr>
      <w:fldChar w:fldCharType="end"/>
    </w:r>
  </w:p>
  <w:p>
    <w:pPr>
      <w:pStyle w:val="8"/>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7"/>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TUwYTY0MGM3ZjczMTVkYjQ5ZTc3MzI4MmY2ZTUzMTIifQ=="/>
  </w:docVars>
  <w:rsids>
    <w:rsidRoot w:val="001F280B"/>
    <w:rsid w:val="00001836"/>
    <w:rsid w:val="0000321C"/>
    <w:rsid w:val="00003F9D"/>
    <w:rsid w:val="00007104"/>
    <w:rsid w:val="000152C1"/>
    <w:rsid w:val="00025D4A"/>
    <w:rsid w:val="000306DD"/>
    <w:rsid w:val="00035DE6"/>
    <w:rsid w:val="00035EFC"/>
    <w:rsid w:val="0003662F"/>
    <w:rsid w:val="00041892"/>
    <w:rsid w:val="000420A9"/>
    <w:rsid w:val="0004731D"/>
    <w:rsid w:val="00047745"/>
    <w:rsid w:val="000507D3"/>
    <w:rsid w:val="00052B0C"/>
    <w:rsid w:val="00062E92"/>
    <w:rsid w:val="00066A88"/>
    <w:rsid w:val="00077B4B"/>
    <w:rsid w:val="00083834"/>
    <w:rsid w:val="00083C06"/>
    <w:rsid w:val="00086488"/>
    <w:rsid w:val="000866E0"/>
    <w:rsid w:val="000868BD"/>
    <w:rsid w:val="00091ED1"/>
    <w:rsid w:val="00095CA3"/>
    <w:rsid w:val="000A02A0"/>
    <w:rsid w:val="000A30FE"/>
    <w:rsid w:val="000A55DC"/>
    <w:rsid w:val="000A6EAF"/>
    <w:rsid w:val="000A72D4"/>
    <w:rsid w:val="000B419E"/>
    <w:rsid w:val="000B45C0"/>
    <w:rsid w:val="000B5433"/>
    <w:rsid w:val="000C23C1"/>
    <w:rsid w:val="000C2E26"/>
    <w:rsid w:val="000C6622"/>
    <w:rsid w:val="000D173E"/>
    <w:rsid w:val="000D760B"/>
    <w:rsid w:val="000E1419"/>
    <w:rsid w:val="000E1D97"/>
    <w:rsid w:val="000E4EF6"/>
    <w:rsid w:val="000E752F"/>
    <w:rsid w:val="000F2874"/>
    <w:rsid w:val="000F4943"/>
    <w:rsid w:val="000F74F7"/>
    <w:rsid w:val="001011BB"/>
    <w:rsid w:val="00106CCF"/>
    <w:rsid w:val="00107F03"/>
    <w:rsid w:val="0011082F"/>
    <w:rsid w:val="00111D33"/>
    <w:rsid w:val="001126F8"/>
    <w:rsid w:val="00120855"/>
    <w:rsid w:val="00130676"/>
    <w:rsid w:val="00133459"/>
    <w:rsid w:val="00136D05"/>
    <w:rsid w:val="0014051B"/>
    <w:rsid w:val="00142C92"/>
    <w:rsid w:val="00144382"/>
    <w:rsid w:val="00144B88"/>
    <w:rsid w:val="001451F4"/>
    <w:rsid w:val="00147105"/>
    <w:rsid w:val="00147225"/>
    <w:rsid w:val="00156EE0"/>
    <w:rsid w:val="00163348"/>
    <w:rsid w:val="00167159"/>
    <w:rsid w:val="00170AAF"/>
    <w:rsid w:val="0017239A"/>
    <w:rsid w:val="0017334B"/>
    <w:rsid w:val="001753F0"/>
    <w:rsid w:val="00180DBC"/>
    <w:rsid w:val="00183116"/>
    <w:rsid w:val="00185085"/>
    <w:rsid w:val="00187049"/>
    <w:rsid w:val="001918C9"/>
    <w:rsid w:val="00191A35"/>
    <w:rsid w:val="00191CEE"/>
    <w:rsid w:val="00193D97"/>
    <w:rsid w:val="00196532"/>
    <w:rsid w:val="001966FB"/>
    <w:rsid w:val="001A2943"/>
    <w:rsid w:val="001A3456"/>
    <w:rsid w:val="001A3B51"/>
    <w:rsid w:val="001A4B75"/>
    <w:rsid w:val="001A6584"/>
    <w:rsid w:val="001A72A8"/>
    <w:rsid w:val="001B02F1"/>
    <w:rsid w:val="001B38DF"/>
    <w:rsid w:val="001B66B4"/>
    <w:rsid w:val="001B6851"/>
    <w:rsid w:val="001D02F2"/>
    <w:rsid w:val="001D133F"/>
    <w:rsid w:val="001D1586"/>
    <w:rsid w:val="001D4BB7"/>
    <w:rsid w:val="001D4F7A"/>
    <w:rsid w:val="001D55DD"/>
    <w:rsid w:val="001D72A3"/>
    <w:rsid w:val="001D784B"/>
    <w:rsid w:val="001E53C6"/>
    <w:rsid w:val="001E6E59"/>
    <w:rsid w:val="001F280B"/>
    <w:rsid w:val="001F38FA"/>
    <w:rsid w:val="001F6034"/>
    <w:rsid w:val="001F60A1"/>
    <w:rsid w:val="001F7385"/>
    <w:rsid w:val="002010A9"/>
    <w:rsid w:val="00204529"/>
    <w:rsid w:val="00212306"/>
    <w:rsid w:val="00214CDA"/>
    <w:rsid w:val="00217585"/>
    <w:rsid w:val="002175A2"/>
    <w:rsid w:val="0022055F"/>
    <w:rsid w:val="0022228C"/>
    <w:rsid w:val="00223B83"/>
    <w:rsid w:val="00224256"/>
    <w:rsid w:val="002262D5"/>
    <w:rsid w:val="00233932"/>
    <w:rsid w:val="002375D5"/>
    <w:rsid w:val="00252D99"/>
    <w:rsid w:val="0025404F"/>
    <w:rsid w:val="0025466E"/>
    <w:rsid w:val="00255D46"/>
    <w:rsid w:val="00264A38"/>
    <w:rsid w:val="0026515D"/>
    <w:rsid w:val="00265E55"/>
    <w:rsid w:val="00275BA1"/>
    <w:rsid w:val="00280389"/>
    <w:rsid w:val="00286638"/>
    <w:rsid w:val="002870FB"/>
    <w:rsid w:val="00287F39"/>
    <w:rsid w:val="00287F68"/>
    <w:rsid w:val="002931F9"/>
    <w:rsid w:val="00297C25"/>
    <w:rsid w:val="002A0EA7"/>
    <w:rsid w:val="002A124E"/>
    <w:rsid w:val="002A444C"/>
    <w:rsid w:val="002A6850"/>
    <w:rsid w:val="002A7654"/>
    <w:rsid w:val="002B17CD"/>
    <w:rsid w:val="002B44E7"/>
    <w:rsid w:val="002B5288"/>
    <w:rsid w:val="002B5B79"/>
    <w:rsid w:val="002B669E"/>
    <w:rsid w:val="002B6C5A"/>
    <w:rsid w:val="002C14E2"/>
    <w:rsid w:val="002C2F64"/>
    <w:rsid w:val="002C43DE"/>
    <w:rsid w:val="002D4A86"/>
    <w:rsid w:val="002D5DAA"/>
    <w:rsid w:val="002D77AB"/>
    <w:rsid w:val="002E23DE"/>
    <w:rsid w:val="002E3C8C"/>
    <w:rsid w:val="002E5F6E"/>
    <w:rsid w:val="002F04FF"/>
    <w:rsid w:val="002F05A7"/>
    <w:rsid w:val="002F3FAB"/>
    <w:rsid w:val="00301D46"/>
    <w:rsid w:val="00303040"/>
    <w:rsid w:val="003034E1"/>
    <w:rsid w:val="0032276E"/>
    <w:rsid w:val="0032326F"/>
    <w:rsid w:val="003232F7"/>
    <w:rsid w:val="00334844"/>
    <w:rsid w:val="00337FF4"/>
    <w:rsid w:val="003504F0"/>
    <w:rsid w:val="003505C4"/>
    <w:rsid w:val="00353162"/>
    <w:rsid w:val="00354696"/>
    <w:rsid w:val="00355FC8"/>
    <w:rsid w:val="00365E6A"/>
    <w:rsid w:val="00370392"/>
    <w:rsid w:val="003753A2"/>
    <w:rsid w:val="00375BCB"/>
    <w:rsid w:val="003832E9"/>
    <w:rsid w:val="003941BA"/>
    <w:rsid w:val="003A3FE1"/>
    <w:rsid w:val="003A7CEC"/>
    <w:rsid w:val="003B04D2"/>
    <w:rsid w:val="003B1B4D"/>
    <w:rsid w:val="003B228E"/>
    <w:rsid w:val="003B416E"/>
    <w:rsid w:val="003B6D0F"/>
    <w:rsid w:val="003D11B9"/>
    <w:rsid w:val="003D2770"/>
    <w:rsid w:val="003D46F0"/>
    <w:rsid w:val="003E141C"/>
    <w:rsid w:val="003E2323"/>
    <w:rsid w:val="003E4126"/>
    <w:rsid w:val="003E6B73"/>
    <w:rsid w:val="003F0B7B"/>
    <w:rsid w:val="003F2147"/>
    <w:rsid w:val="003F24AC"/>
    <w:rsid w:val="00400329"/>
    <w:rsid w:val="0040151F"/>
    <w:rsid w:val="00401582"/>
    <w:rsid w:val="004035DE"/>
    <w:rsid w:val="00404DB7"/>
    <w:rsid w:val="00404F07"/>
    <w:rsid w:val="0041141A"/>
    <w:rsid w:val="00411717"/>
    <w:rsid w:val="004136E4"/>
    <w:rsid w:val="00415F79"/>
    <w:rsid w:val="00416719"/>
    <w:rsid w:val="004202A5"/>
    <w:rsid w:val="004320A4"/>
    <w:rsid w:val="004320F4"/>
    <w:rsid w:val="004367B8"/>
    <w:rsid w:val="00441E76"/>
    <w:rsid w:val="00445217"/>
    <w:rsid w:val="0044526C"/>
    <w:rsid w:val="0044581F"/>
    <w:rsid w:val="00451875"/>
    <w:rsid w:val="00457B78"/>
    <w:rsid w:val="00461AAA"/>
    <w:rsid w:val="00461C99"/>
    <w:rsid w:val="0047182D"/>
    <w:rsid w:val="00472EEF"/>
    <w:rsid w:val="00475124"/>
    <w:rsid w:val="0047720B"/>
    <w:rsid w:val="00483312"/>
    <w:rsid w:val="00484B93"/>
    <w:rsid w:val="00485560"/>
    <w:rsid w:val="00486AFA"/>
    <w:rsid w:val="004902CF"/>
    <w:rsid w:val="0049129E"/>
    <w:rsid w:val="0049309C"/>
    <w:rsid w:val="004963CB"/>
    <w:rsid w:val="004A43B7"/>
    <w:rsid w:val="004A55A0"/>
    <w:rsid w:val="004A6642"/>
    <w:rsid w:val="004A6CF0"/>
    <w:rsid w:val="004B2DE1"/>
    <w:rsid w:val="004B694F"/>
    <w:rsid w:val="004C175D"/>
    <w:rsid w:val="004C1B8D"/>
    <w:rsid w:val="004C38F4"/>
    <w:rsid w:val="004C5B3C"/>
    <w:rsid w:val="004D0C44"/>
    <w:rsid w:val="004D44EC"/>
    <w:rsid w:val="004E3FB3"/>
    <w:rsid w:val="004E66BB"/>
    <w:rsid w:val="004F272E"/>
    <w:rsid w:val="00502293"/>
    <w:rsid w:val="00502488"/>
    <w:rsid w:val="00503AC0"/>
    <w:rsid w:val="00511955"/>
    <w:rsid w:val="00516426"/>
    <w:rsid w:val="00527F23"/>
    <w:rsid w:val="005307B8"/>
    <w:rsid w:val="00534B6E"/>
    <w:rsid w:val="00536685"/>
    <w:rsid w:val="005415EF"/>
    <w:rsid w:val="005467CF"/>
    <w:rsid w:val="00546847"/>
    <w:rsid w:val="00546CB5"/>
    <w:rsid w:val="00547936"/>
    <w:rsid w:val="005512AE"/>
    <w:rsid w:val="005518FD"/>
    <w:rsid w:val="005568DF"/>
    <w:rsid w:val="00560446"/>
    <w:rsid w:val="00564B75"/>
    <w:rsid w:val="00567E52"/>
    <w:rsid w:val="00571402"/>
    <w:rsid w:val="0057213C"/>
    <w:rsid w:val="005724E3"/>
    <w:rsid w:val="005806F4"/>
    <w:rsid w:val="0058468A"/>
    <w:rsid w:val="00590C09"/>
    <w:rsid w:val="00592483"/>
    <w:rsid w:val="00593605"/>
    <w:rsid w:val="00595EC2"/>
    <w:rsid w:val="00596CBF"/>
    <w:rsid w:val="00597A12"/>
    <w:rsid w:val="005A0EFF"/>
    <w:rsid w:val="005A2183"/>
    <w:rsid w:val="005A2332"/>
    <w:rsid w:val="005A28E2"/>
    <w:rsid w:val="005A7728"/>
    <w:rsid w:val="005C0705"/>
    <w:rsid w:val="005C5A28"/>
    <w:rsid w:val="005C770A"/>
    <w:rsid w:val="005D0E48"/>
    <w:rsid w:val="005D5867"/>
    <w:rsid w:val="005D743D"/>
    <w:rsid w:val="005D7480"/>
    <w:rsid w:val="005E004D"/>
    <w:rsid w:val="005E362F"/>
    <w:rsid w:val="005E3DA6"/>
    <w:rsid w:val="005F0DD1"/>
    <w:rsid w:val="00601F02"/>
    <w:rsid w:val="00605B18"/>
    <w:rsid w:val="00605B3F"/>
    <w:rsid w:val="00610385"/>
    <w:rsid w:val="00610A27"/>
    <w:rsid w:val="006111A9"/>
    <w:rsid w:val="00617B05"/>
    <w:rsid w:val="006228C6"/>
    <w:rsid w:val="00625A2C"/>
    <w:rsid w:val="00626541"/>
    <w:rsid w:val="00627896"/>
    <w:rsid w:val="00630B64"/>
    <w:rsid w:val="00631CE9"/>
    <w:rsid w:val="006354D7"/>
    <w:rsid w:val="00635C52"/>
    <w:rsid w:val="006361CD"/>
    <w:rsid w:val="00637DE5"/>
    <w:rsid w:val="00640B99"/>
    <w:rsid w:val="00642590"/>
    <w:rsid w:val="00642CF1"/>
    <w:rsid w:val="006505BD"/>
    <w:rsid w:val="0065284F"/>
    <w:rsid w:val="0065295D"/>
    <w:rsid w:val="006537E0"/>
    <w:rsid w:val="00661CAD"/>
    <w:rsid w:val="0066462C"/>
    <w:rsid w:val="00665CF0"/>
    <w:rsid w:val="00667363"/>
    <w:rsid w:val="00667426"/>
    <w:rsid w:val="00670434"/>
    <w:rsid w:val="006801ED"/>
    <w:rsid w:val="0068291F"/>
    <w:rsid w:val="00683F0D"/>
    <w:rsid w:val="006849D8"/>
    <w:rsid w:val="00684B6D"/>
    <w:rsid w:val="006858A2"/>
    <w:rsid w:val="006906A3"/>
    <w:rsid w:val="00691770"/>
    <w:rsid w:val="00692153"/>
    <w:rsid w:val="0069301B"/>
    <w:rsid w:val="006932A2"/>
    <w:rsid w:val="00693F64"/>
    <w:rsid w:val="00695B0A"/>
    <w:rsid w:val="006962C8"/>
    <w:rsid w:val="0069775B"/>
    <w:rsid w:val="006A0215"/>
    <w:rsid w:val="006A244C"/>
    <w:rsid w:val="006A3323"/>
    <w:rsid w:val="006A6CF6"/>
    <w:rsid w:val="006B54F6"/>
    <w:rsid w:val="006C4FD9"/>
    <w:rsid w:val="006C7169"/>
    <w:rsid w:val="006D0D4D"/>
    <w:rsid w:val="006D1E9F"/>
    <w:rsid w:val="006D20F1"/>
    <w:rsid w:val="006D493E"/>
    <w:rsid w:val="006D5B86"/>
    <w:rsid w:val="006D662E"/>
    <w:rsid w:val="006E082E"/>
    <w:rsid w:val="006E143E"/>
    <w:rsid w:val="006E3A82"/>
    <w:rsid w:val="006F11E9"/>
    <w:rsid w:val="006F28CE"/>
    <w:rsid w:val="006F5F81"/>
    <w:rsid w:val="006F7B27"/>
    <w:rsid w:val="007029E5"/>
    <w:rsid w:val="00705B22"/>
    <w:rsid w:val="007074A2"/>
    <w:rsid w:val="00710131"/>
    <w:rsid w:val="0071091F"/>
    <w:rsid w:val="007122EC"/>
    <w:rsid w:val="0071239F"/>
    <w:rsid w:val="00716594"/>
    <w:rsid w:val="0071711C"/>
    <w:rsid w:val="007209C5"/>
    <w:rsid w:val="00721132"/>
    <w:rsid w:val="00724E7A"/>
    <w:rsid w:val="00727D19"/>
    <w:rsid w:val="0073052D"/>
    <w:rsid w:val="007330D8"/>
    <w:rsid w:val="00736891"/>
    <w:rsid w:val="0074013C"/>
    <w:rsid w:val="00740B77"/>
    <w:rsid w:val="007415E7"/>
    <w:rsid w:val="0075145F"/>
    <w:rsid w:val="007572FF"/>
    <w:rsid w:val="0075790D"/>
    <w:rsid w:val="00763302"/>
    <w:rsid w:val="00767EB4"/>
    <w:rsid w:val="00777D17"/>
    <w:rsid w:val="00782821"/>
    <w:rsid w:val="00783907"/>
    <w:rsid w:val="007847A5"/>
    <w:rsid w:val="007876A9"/>
    <w:rsid w:val="00791E7C"/>
    <w:rsid w:val="007A0870"/>
    <w:rsid w:val="007A0E9E"/>
    <w:rsid w:val="007A537E"/>
    <w:rsid w:val="007A6F67"/>
    <w:rsid w:val="007A765B"/>
    <w:rsid w:val="007B0D6A"/>
    <w:rsid w:val="007C3485"/>
    <w:rsid w:val="007C5EB6"/>
    <w:rsid w:val="007C6BCD"/>
    <w:rsid w:val="007D1DBE"/>
    <w:rsid w:val="007D2034"/>
    <w:rsid w:val="007D5070"/>
    <w:rsid w:val="007D6F79"/>
    <w:rsid w:val="007E13B9"/>
    <w:rsid w:val="007E2AAA"/>
    <w:rsid w:val="007E3E31"/>
    <w:rsid w:val="007F21EB"/>
    <w:rsid w:val="007F45C4"/>
    <w:rsid w:val="00807757"/>
    <w:rsid w:val="0081599C"/>
    <w:rsid w:val="00817663"/>
    <w:rsid w:val="00823977"/>
    <w:rsid w:val="00823B73"/>
    <w:rsid w:val="0082516F"/>
    <w:rsid w:val="00825AAA"/>
    <w:rsid w:val="00827E6F"/>
    <w:rsid w:val="008338A2"/>
    <w:rsid w:val="00834E8C"/>
    <w:rsid w:val="00835AD4"/>
    <w:rsid w:val="00835B9B"/>
    <w:rsid w:val="00837E4D"/>
    <w:rsid w:val="00843A24"/>
    <w:rsid w:val="00844A6E"/>
    <w:rsid w:val="0085738B"/>
    <w:rsid w:val="00860428"/>
    <w:rsid w:val="00861EAF"/>
    <w:rsid w:val="008654F9"/>
    <w:rsid w:val="0086694D"/>
    <w:rsid w:val="0086742A"/>
    <w:rsid w:val="00867B57"/>
    <w:rsid w:val="008716A4"/>
    <w:rsid w:val="0087358D"/>
    <w:rsid w:val="008874F6"/>
    <w:rsid w:val="00890AB2"/>
    <w:rsid w:val="00891386"/>
    <w:rsid w:val="0089255C"/>
    <w:rsid w:val="00895BE9"/>
    <w:rsid w:val="0089650A"/>
    <w:rsid w:val="008A5D99"/>
    <w:rsid w:val="008A61BA"/>
    <w:rsid w:val="008A680F"/>
    <w:rsid w:val="008B0E40"/>
    <w:rsid w:val="008B1ACE"/>
    <w:rsid w:val="008B3E49"/>
    <w:rsid w:val="008B6881"/>
    <w:rsid w:val="008B721E"/>
    <w:rsid w:val="008C0712"/>
    <w:rsid w:val="008C6507"/>
    <w:rsid w:val="008D062A"/>
    <w:rsid w:val="008D31D3"/>
    <w:rsid w:val="008D59F9"/>
    <w:rsid w:val="008E3DE2"/>
    <w:rsid w:val="008E4F8C"/>
    <w:rsid w:val="008F039C"/>
    <w:rsid w:val="008F273C"/>
    <w:rsid w:val="008F49A9"/>
    <w:rsid w:val="008F661B"/>
    <w:rsid w:val="00902E8F"/>
    <w:rsid w:val="00904D2F"/>
    <w:rsid w:val="009057C0"/>
    <w:rsid w:val="00905A56"/>
    <w:rsid w:val="009067C7"/>
    <w:rsid w:val="00907C73"/>
    <w:rsid w:val="00915477"/>
    <w:rsid w:val="00916BC6"/>
    <w:rsid w:val="00921337"/>
    <w:rsid w:val="00921E7F"/>
    <w:rsid w:val="00921EF3"/>
    <w:rsid w:val="00923231"/>
    <w:rsid w:val="0092363F"/>
    <w:rsid w:val="0093168C"/>
    <w:rsid w:val="00931EA8"/>
    <w:rsid w:val="00932AB5"/>
    <w:rsid w:val="0093559C"/>
    <w:rsid w:val="0093597A"/>
    <w:rsid w:val="009370CE"/>
    <w:rsid w:val="0094053B"/>
    <w:rsid w:val="009407F9"/>
    <w:rsid w:val="0094519A"/>
    <w:rsid w:val="00945714"/>
    <w:rsid w:val="0095066E"/>
    <w:rsid w:val="00952FB3"/>
    <w:rsid w:val="00953CC6"/>
    <w:rsid w:val="00955881"/>
    <w:rsid w:val="00956C8A"/>
    <w:rsid w:val="00960E32"/>
    <w:rsid w:val="00967178"/>
    <w:rsid w:val="00974C5F"/>
    <w:rsid w:val="00975DE6"/>
    <w:rsid w:val="00975EE7"/>
    <w:rsid w:val="009834DC"/>
    <w:rsid w:val="009872AA"/>
    <w:rsid w:val="00987443"/>
    <w:rsid w:val="00991554"/>
    <w:rsid w:val="00993838"/>
    <w:rsid w:val="0099581D"/>
    <w:rsid w:val="009A6C3F"/>
    <w:rsid w:val="009A79B5"/>
    <w:rsid w:val="009B22B9"/>
    <w:rsid w:val="009B705E"/>
    <w:rsid w:val="009C1F74"/>
    <w:rsid w:val="009C58AB"/>
    <w:rsid w:val="009C69F2"/>
    <w:rsid w:val="009D0AF8"/>
    <w:rsid w:val="009D3D17"/>
    <w:rsid w:val="009D5FC8"/>
    <w:rsid w:val="009E000D"/>
    <w:rsid w:val="009E62C1"/>
    <w:rsid w:val="009E650A"/>
    <w:rsid w:val="009F0017"/>
    <w:rsid w:val="009F0DC3"/>
    <w:rsid w:val="009F1299"/>
    <w:rsid w:val="009F2D5C"/>
    <w:rsid w:val="009F7B1D"/>
    <w:rsid w:val="00A01A47"/>
    <w:rsid w:val="00A142D0"/>
    <w:rsid w:val="00A16475"/>
    <w:rsid w:val="00A1663C"/>
    <w:rsid w:val="00A23F50"/>
    <w:rsid w:val="00A255DB"/>
    <w:rsid w:val="00A37F68"/>
    <w:rsid w:val="00A43A9D"/>
    <w:rsid w:val="00A45AD1"/>
    <w:rsid w:val="00A505C6"/>
    <w:rsid w:val="00A5362A"/>
    <w:rsid w:val="00A54CF2"/>
    <w:rsid w:val="00A6560A"/>
    <w:rsid w:val="00A65A96"/>
    <w:rsid w:val="00A82FC2"/>
    <w:rsid w:val="00A85FBA"/>
    <w:rsid w:val="00A91F33"/>
    <w:rsid w:val="00A96451"/>
    <w:rsid w:val="00AA40F6"/>
    <w:rsid w:val="00AB4675"/>
    <w:rsid w:val="00AB56DF"/>
    <w:rsid w:val="00AB5FEA"/>
    <w:rsid w:val="00AB6906"/>
    <w:rsid w:val="00AB730D"/>
    <w:rsid w:val="00AC25EF"/>
    <w:rsid w:val="00AC3AA9"/>
    <w:rsid w:val="00AC5305"/>
    <w:rsid w:val="00AC546F"/>
    <w:rsid w:val="00AC71E2"/>
    <w:rsid w:val="00AC79AD"/>
    <w:rsid w:val="00AD258D"/>
    <w:rsid w:val="00AD2A02"/>
    <w:rsid w:val="00AE0813"/>
    <w:rsid w:val="00AE3D2D"/>
    <w:rsid w:val="00AE6F3B"/>
    <w:rsid w:val="00AF5562"/>
    <w:rsid w:val="00AF6508"/>
    <w:rsid w:val="00AF6C50"/>
    <w:rsid w:val="00AF7D0E"/>
    <w:rsid w:val="00B03617"/>
    <w:rsid w:val="00B03634"/>
    <w:rsid w:val="00B06CDF"/>
    <w:rsid w:val="00B1476E"/>
    <w:rsid w:val="00B14900"/>
    <w:rsid w:val="00B14A29"/>
    <w:rsid w:val="00B1708F"/>
    <w:rsid w:val="00B219BF"/>
    <w:rsid w:val="00B3070F"/>
    <w:rsid w:val="00B3323A"/>
    <w:rsid w:val="00B40F3D"/>
    <w:rsid w:val="00B440E8"/>
    <w:rsid w:val="00B44915"/>
    <w:rsid w:val="00B465E7"/>
    <w:rsid w:val="00B476D1"/>
    <w:rsid w:val="00B60136"/>
    <w:rsid w:val="00B61216"/>
    <w:rsid w:val="00B6145F"/>
    <w:rsid w:val="00B635D9"/>
    <w:rsid w:val="00B74F74"/>
    <w:rsid w:val="00B75199"/>
    <w:rsid w:val="00B859D2"/>
    <w:rsid w:val="00B86BE2"/>
    <w:rsid w:val="00B948C4"/>
    <w:rsid w:val="00B94F8D"/>
    <w:rsid w:val="00B9515A"/>
    <w:rsid w:val="00BA39F7"/>
    <w:rsid w:val="00BA3CFF"/>
    <w:rsid w:val="00BA3D89"/>
    <w:rsid w:val="00BB1A05"/>
    <w:rsid w:val="00BB24A6"/>
    <w:rsid w:val="00BB2B6D"/>
    <w:rsid w:val="00BC10B6"/>
    <w:rsid w:val="00BC1757"/>
    <w:rsid w:val="00BC5760"/>
    <w:rsid w:val="00BD0855"/>
    <w:rsid w:val="00BD0F47"/>
    <w:rsid w:val="00BD4C43"/>
    <w:rsid w:val="00BD69FE"/>
    <w:rsid w:val="00BD730A"/>
    <w:rsid w:val="00BE0012"/>
    <w:rsid w:val="00BE145E"/>
    <w:rsid w:val="00BE3870"/>
    <w:rsid w:val="00C0138B"/>
    <w:rsid w:val="00C015BA"/>
    <w:rsid w:val="00C0435E"/>
    <w:rsid w:val="00C10572"/>
    <w:rsid w:val="00C11394"/>
    <w:rsid w:val="00C122FC"/>
    <w:rsid w:val="00C208AE"/>
    <w:rsid w:val="00C20924"/>
    <w:rsid w:val="00C210AD"/>
    <w:rsid w:val="00C25666"/>
    <w:rsid w:val="00C26E45"/>
    <w:rsid w:val="00C27055"/>
    <w:rsid w:val="00C31C4D"/>
    <w:rsid w:val="00C32C01"/>
    <w:rsid w:val="00C37747"/>
    <w:rsid w:val="00C45BD8"/>
    <w:rsid w:val="00C52D2E"/>
    <w:rsid w:val="00C56F8E"/>
    <w:rsid w:val="00C65C5A"/>
    <w:rsid w:val="00C70E5A"/>
    <w:rsid w:val="00C760DA"/>
    <w:rsid w:val="00C8630B"/>
    <w:rsid w:val="00C869AD"/>
    <w:rsid w:val="00CA2BD3"/>
    <w:rsid w:val="00CA5822"/>
    <w:rsid w:val="00CA76EE"/>
    <w:rsid w:val="00CB0F06"/>
    <w:rsid w:val="00CC0E18"/>
    <w:rsid w:val="00CC0FF9"/>
    <w:rsid w:val="00CC3A12"/>
    <w:rsid w:val="00CC3FDE"/>
    <w:rsid w:val="00CC486E"/>
    <w:rsid w:val="00CC66BB"/>
    <w:rsid w:val="00CC6986"/>
    <w:rsid w:val="00CE1CBF"/>
    <w:rsid w:val="00CE76CD"/>
    <w:rsid w:val="00CF128E"/>
    <w:rsid w:val="00CF1E95"/>
    <w:rsid w:val="00CF225B"/>
    <w:rsid w:val="00CF469A"/>
    <w:rsid w:val="00CF6BE8"/>
    <w:rsid w:val="00D0133B"/>
    <w:rsid w:val="00D0197B"/>
    <w:rsid w:val="00D159B2"/>
    <w:rsid w:val="00D162ED"/>
    <w:rsid w:val="00D2518B"/>
    <w:rsid w:val="00D252AC"/>
    <w:rsid w:val="00D2747C"/>
    <w:rsid w:val="00D32FB4"/>
    <w:rsid w:val="00D34458"/>
    <w:rsid w:val="00D36CCD"/>
    <w:rsid w:val="00D36EA9"/>
    <w:rsid w:val="00D37DBE"/>
    <w:rsid w:val="00D37F12"/>
    <w:rsid w:val="00D4207D"/>
    <w:rsid w:val="00D42D04"/>
    <w:rsid w:val="00D50438"/>
    <w:rsid w:val="00D50C91"/>
    <w:rsid w:val="00D51567"/>
    <w:rsid w:val="00D64321"/>
    <w:rsid w:val="00D678DB"/>
    <w:rsid w:val="00D67F87"/>
    <w:rsid w:val="00D73E4E"/>
    <w:rsid w:val="00D779CC"/>
    <w:rsid w:val="00D820DD"/>
    <w:rsid w:val="00D87A86"/>
    <w:rsid w:val="00D90E9B"/>
    <w:rsid w:val="00D9169C"/>
    <w:rsid w:val="00D92C79"/>
    <w:rsid w:val="00D93B9C"/>
    <w:rsid w:val="00D954A4"/>
    <w:rsid w:val="00DA1F1D"/>
    <w:rsid w:val="00DB2934"/>
    <w:rsid w:val="00DB2EEA"/>
    <w:rsid w:val="00DC3C78"/>
    <w:rsid w:val="00DC540E"/>
    <w:rsid w:val="00DC5C13"/>
    <w:rsid w:val="00DD0FB1"/>
    <w:rsid w:val="00DD440B"/>
    <w:rsid w:val="00DE2B1F"/>
    <w:rsid w:val="00DE3925"/>
    <w:rsid w:val="00DE3F3D"/>
    <w:rsid w:val="00DE4EFC"/>
    <w:rsid w:val="00DE5FDB"/>
    <w:rsid w:val="00DE68B0"/>
    <w:rsid w:val="00DE6F1C"/>
    <w:rsid w:val="00DF1289"/>
    <w:rsid w:val="00DF1732"/>
    <w:rsid w:val="00DF3D8E"/>
    <w:rsid w:val="00E013E0"/>
    <w:rsid w:val="00E03231"/>
    <w:rsid w:val="00E05325"/>
    <w:rsid w:val="00E0635E"/>
    <w:rsid w:val="00E07D00"/>
    <w:rsid w:val="00E10484"/>
    <w:rsid w:val="00E10B3E"/>
    <w:rsid w:val="00E10C52"/>
    <w:rsid w:val="00E11238"/>
    <w:rsid w:val="00E11EC2"/>
    <w:rsid w:val="00E176B9"/>
    <w:rsid w:val="00E20C73"/>
    <w:rsid w:val="00E214AA"/>
    <w:rsid w:val="00E238E7"/>
    <w:rsid w:val="00E23F6D"/>
    <w:rsid w:val="00E2411C"/>
    <w:rsid w:val="00E25F73"/>
    <w:rsid w:val="00E2788C"/>
    <w:rsid w:val="00E3314D"/>
    <w:rsid w:val="00E332BA"/>
    <w:rsid w:val="00E347E6"/>
    <w:rsid w:val="00E377E4"/>
    <w:rsid w:val="00E424BD"/>
    <w:rsid w:val="00E42DA3"/>
    <w:rsid w:val="00E457E2"/>
    <w:rsid w:val="00E47DFA"/>
    <w:rsid w:val="00E52809"/>
    <w:rsid w:val="00E5348A"/>
    <w:rsid w:val="00E53FAB"/>
    <w:rsid w:val="00E54C1B"/>
    <w:rsid w:val="00E568D8"/>
    <w:rsid w:val="00E60F0C"/>
    <w:rsid w:val="00E624D5"/>
    <w:rsid w:val="00E7363D"/>
    <w:rsid w:val="00E73A19"/>
    <w:rsid w:val="00E7534C"/>
    <w:rsid w:val="00E911DD"/>
    <w:rsid w:val="00E91C1A"/>
    <w:rsid w:val="00E91D4A"/>
    <w:rsid w:val="00EA32B4"/>
    <w:rsid w:val="00EA3A4E"/>
    <w:rsid w:val="00EA3E0F"/>
    <w:rsid w:val="00EB042F"/>
    <w:rsid w:val="00EB0779"/>
    <w:rsid w:val="00EB350B"/>
    <w:rsid w:val="00EB50C1"/>
    <w:rsid w:val="00EC5307"/>
    <w:rsid w:val="00ED10DA"/>
    <w:rsid w:val="00ED6664"/>
    <w:rsid w:val="00EE2735"/>
    <w:rsid w:val="00EE7953"/>
    <w:rsid w:val="00EE7A8C"/>
    <w:rsid w:val="00EF0708"/>
    <w:rsid w:val="00EF3164"/>
    <w:rsid w:val="00EF3171"/>
    <w:rsid w:val="00EF45A7"/>
    <w:rsid w:val="00EF4877"/>
    <w:rsid w:val="00EF4B9B"/>
    <w:rsid w:val="00F02208"/>
    <w:rsid w:val="00F11785"/>
    <w:rsid w:val="00F12436"/>
    <w:rsid w:val="00F24061"/>
    <w:rsid w:val="00F241B1"/>
    <w:rsid w:val="00F278AC"/>
    <w:rsid w:val="00F33D29"/>
    <w:rsid w:val="00F35D6B"/>
    <w:rsid w:val="00F40E7F"/>
    <w:rsid w:val="00F42544"/>
    <w:rsid w:val="00F44014"/>
    <w:rsid w:val="00F559BE"/>
    <w:rsid w:val="00F6661D"/>
    <w:rsid w:val="00F72E87"/>
    <w:rsid w:val="00F90C59"/>
    <w:rsid w:val="00F913EC"/>
    <w:rsid w:val="00F93FBA"/>
    <w:rsid w:val="00FA392F"/>
    <w:rsid w:val="00FA570A"/>
    <w:rsid w:val="00FA5A15"/>
    <w:rsid w:val="00FA6069"/>
    <w:rsid w:val="00FA6A0C"/>
    <w:rsid w:val="00FB22B6"/>
    <w:rsid w:val="00FB419E"/>
    <w:rsid w:val="00FB55B3"/>
    <w:rsid w:val="00FC773A"/>
    <w:rsid w:val="00FD1206"/>
    <w:rsid w:val="00FD408D"/>
    <w:rsid w:val="00FD669E"/>
    <w:rsid w:val="00FE0D53"/>
    <w:rsid w:val="00FE1D87"/>
    <w:rsid w:val="00FE2F1D"/>
    <w:rsid w:val="00FF1C94"/>
    <w:rsid w:val="00FF445E"/>
    <w:rsid w:val="00FF76D7"/>
    <w:rsid w:val="00FF797F"/>
    <w:rsid w:val="02E73211"/>
    <w:rsid w:val="1EB93D62"/>
    <w:rsid w:val="24763D61"/>
    <w:rsid w:val="2B116592"/>
    <w:rsid w:val="2B465C04"/>
    <w:rsid w:val="2F9915F8"/>
    <w:rsid w:val="33891CF7"/>
    <w:rsid w:val="34AF782F"/>
    <w:rsid w:val="397933B5"/>
    <w:rsid w:val="3B6F2F50"/>
    <w:rsid w:val="3C254B95"/>
    <w:rsid w:val="3D191CD8"/>
    <w:rsid w:val="400E3767"/>
    <w:rsid w:val="434C1998"/>
    <w:rsid w:val="44ED5025"/>
    <w:rsid w:val="4C7920DC"/>
    <w:rsid w:val="4D1A70D0"/>
    <w:rsid w:val="4E686874"/>
    <w:rsid w:val="50044B59"/>
    <w:rsid w:val="532076DA"/>
    <w:rsid w:val="53605111"/>
    <w:rsid w:val="59A12560"/>
    <w:rsid w:val="5B76165D"/>
    <w:rsid w:val="617A3EBE"/>
    <w:rsid w:val="617B738A"/>
    <w:rsid w:val="6FC20AE3"/>
    <w:rsid w:val="7316584D"/>
    <w:rsid w:val="EBE7D4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ocked="1"/>
    <w:lsdException w:uiPriority="0" w:name="toc 2" w:locked="1"/>
    <w:lsdException w:uiPriority="0" w:name="toc 3" w:locked="1"/>
    <w:lsdException w:uiPriority="0" w:name="toc 4" w:locked="1"/>
    <w:lsdException w:uiPriority="0" w:name="toc 5" w:locked="1"/>
    <w:lsdException w:uiPriority="0" w:name="toc 6" w:locked="1"/>
    <w:lsdException w:uiPriority="0" w:name="toc 7" w:locked="1"/>
    <w:lsdException w:uiPriority="0" w:name="toc 8" w:locked="1"/>
    <w:lsdException w:uiPriority="0" w:name="toc 9" w:locked="1"/>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ocked="1"/>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ocked="1"/>
    <w:lsdException w:uiPriority="0" w:name="Closing"/>
    <w:lsdException w:uiPriority="0" w:name="Signature"/>
    <w:lsdException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ocked="1"/>
    <w:lsdException w:unhideWhenUsed="0" w:uiPriority="0" w:semiHidden="0" w:name="Salutation"/>
    <w:lsdException w:unhideWhenUsed="0" w:uiPriority="0" w:semiHidden="0" w:name="Date"/>
    <w:lsdException w:qFormat="1" w:unhideWhenUsed="0" w:uiPriority="0" w:semiHidden="0" w:name="Body Text First Indent"/>
    <w:lsdException w:uiPriority="0" w:name="Body Text First Indent 2"/>
    <w:lsdException w:uiPriority="0" w:name="Note Heading"/>
    <w:lsdException w:uiPriority="0" w:name="Body Text 2"/>
    <w:lsdException w:uiPriority="0" w:name="Body Text 3"/>
    <w:lsdException w:qFormat="1" w:unhideWhenUsed="0" w:uiPriority="0" w:semiHidden="0" w:name="Body Text Indent 2"/>
    <w:lsdException w:qFormat="1" w:unhideWhenUsed="0" w:uiPriority="0" w:semiHidden="0" w:name="Body Text Indent 3"/>
    <w:lsdException w:uiPriority="0" w:name="Block Text"/>
    <w:lsdException w:qFormat="1" w:unhideWhenUsed="0" w:uiPriority="0" w:semiHidden="0" w:name="Hyperlink"/>
    <w:lsdException w:uiPriority="0" w:name="FollowedHyperlink"/>
    <w:lsdException w:qFormat="1" w:unhideWhenUsed="0" w:uiPriority="0" w:semiHidden="0" w:name="Strong" w:locked="1"/>
    <w:lsdException w:qFormat="1" w:unhideWhenUsed="0" w:uiPriority="0" w:semiHidden="0" w:name="Emphasis" w:locked="1"/>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ocked="1"/>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6"/>
    <w:qFormat/>
    <w:uiPriority w:val="0"/>
    <w:pPr>
      <w:widowControl/>
      <w:spacing w:before="100" w:beforeAutospacing="1" w:after="100" w:afterAutospacing="1"/>
      <w:jc w:val="left"/>
      <w:outlineLvl w:val="0"/>
    </w:pPr>
    <w:rPr>
      <w:rFonts w:ascii="宋体" w:hAnsi="宋体" w:cs="宋体"/>
      <w:b/>
      <w:bCs/>
      <w:kern w:val="36"/>
      <w:sz w:val="48"/>
      <w:szCs w:val="48"/>
    </w:rPr>
  </w:style>
  <w:style w:type="character" w:default="1" w:styleId="13">
    <w:name w:val="Default Paragraph Font"/>
    <w:semiHidden/>
    <w:unhideWhenUsed/>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3">
    <w:name w:val="Document Map"/>
    <w:basedOn w:val="1"/>
    <w:link w:val="21"/>
    <w:semiHidden/>
    <w:qFormat/>
    <w:uiPriority w:val="0"/>
    <w:pPr>
      <w:shd w:val="clear" w:color="auto" w:fill="000080"/>
    </w:pPr>
  </w:style>
  <w:style w:type="paragraph" w:styleId="4">
    <w:name w:val="Body Text"/>
    <w:basedOn w:val="1"/>
    <w:link w:val="30"/>
    <w:qFormat/>
    <w:uiPriority w:val="0"/>
    <w:pPr>
      <w:jc w:val="center"/>
    </w:pPr>
    <w:rPr>
      <w:rFonts w:ascii="仿宋_GB2312" w:hAnsi="仿宋_GB2312" w:eastAsia="黑体"/>
    </w:rPr>
  </w:style>
  <w:style w:type="paragraph" w:styleId="5">
    <w:name w:val="Body Text Indent"/>
    <w:basedOn w:val="1"/>
    <w:link w:val="18"/>
    <w:qFormat/>
    <w:uiPriority w:val="0"/>
    <w:pPr>
      <w:spacing w:line="360" w:lineRule="auto"/>
      <w:ind w:left="360"/>
    </w:pPr>
    <w:rPr>
      <w:sz w:val="24"/>
    </w:rPr>
  </w:style>
  <w:style w:type="paragraph" w:styleId="6">
    <w:name w:val="Body Text Indent 2"/>
    <w:basedOn w:val="1"/>
    <w:link w:val="19"/>
    <w:qFormat/>
    <w:uiPriority w:val="0"/>
    <w:pPr>
      <w:ind w:firstLine="636" w:firstLineChars="227"/>
    </w:pPr>
    <w:rPr>
      <w:sz w:val="28"/>
    </w:rPr>
  </w:style>
  <w:style w:type="paragraph" w:styleId="7">
    <w:name w:val="Balloon Text"/>
    <w:basedOn w:val="1"/>
    <w:link w:val="22"/>
    <w:semiHidden/>
    <w:qFormat/>
    <w:uiPriority w:val="0"/>
    <w:rPr>
      <w:sz w:val="18"/>
      <w:szCs w:val="18"/>
    </w:rPr>
  </w:style>
  <w:style w:type="paragraph" w:styleId="8">
    <w:name w:val="footer"/>
    <w:basedOn w:val="1"/>
    <w:link w:val="23"/>
    <w:qFormat/>
    <w:uiPriority w:val="0"/>
    <w:pPr>
      <w:tabs>
        <w:tab w:val="center" w:pos="4153"/>
        <w:tab w:val="right" w:pos="8306"/>
      </w:tabs>
      <w:snapToGrid w:val="0"/>
      <w:jc w:val="left"/>
    </w:pPr>
    <w:rPr>
      <w:sz w:val="18"/>
      <w:szCs w:val="18"/>
    </w:rPr>
  </w:style>
  <w:style w:type="paragraph" w:styleId="9">
    <w:name w:val="header"/>
    <w:basedOn w:val="1"/>
    <w:link w:val="24"/>
    <w:qFormat/>
    <w:uiPriority w:val="0"/>
    <w:pPr>
      <w:pBdr>
        <w:bottom w:val="single" w:color="auto" w:sz="6" w:space="1"/>
      </w:pBdr>
      <w:tabs>
        <w:tab w:val="center" w:pos="4153"/>
        <w:tab w:val="right" w:pos="8306"/>
      </w:tabs>
      <w:snapToGrid w:val="0"/>
      <w:jc w:val="center"/>
    </w:pPr>
    <w:rPr>
      <w:sz w:val="18"/>
      <w:szCs w:val="18"/>
    </w:rPr>
  </w:style>
  <w:style w:type="paragraph" w:styleId="10">
    <w:name w:val="Body Text Indent 3"/>
    <w:basedOn w:val="1"/>
    <w:link w:val="20"/>
    <w:qFormat/>
    <w:uiPriority w:val="0"/>
    <w:pPr>
      <w:ind w:left="-250" w:leftChars="-250" w:firstLine="560" w:firstLineChars="200"/>
    </w:pPr>
    <w:rPr>
      <w:rFonts w:eastAsia="仿宋_GB2312"/>
      <w:sz w:val="28"/>
    </w:rPr>
  </w:style>
  <w:style w:type="paragraph" w:styleId="11">
    <w:name w:val="Body Text First Indent"/>
    <w:basedOn w:val="4"/>
    <w:qFormat/>
    <w:uiPriority w:val="0"/>
    <w:pPr>
      <w:spacing w:line="560" w:lineRule="exact"/>
      <w:ind w:firstLine="721" w:firstLineChars="200"/>
    </w:pPr>
    <w:rPr>
      <w:rFonts w:ascii="Calibri"/>
    </w:rPr>
  </w:style>
  <w:style w:type="character" w:styleId="14">
    <w:name w:val="page number"/>
    <w:basedOn w:val="13"/>
    <w:qFormat/>
    <w:uiPriority w:val="0"/>
    <w:rPr>
      <w:rFonts w:cs="Times New Roman"/>
    </w:rPr>
  </w:style>
  <w:style w:type="character" w:styleId="15">
    <w:name w:val="Hyperlink"/>
    <w:basedOn w:val="13"/>
    <w:qFormat/>
    <w:uiPriority w:val="0"/>
    <w:rPr>
      <w:rFonts w:cs="Times New Roman"/>
      <w:color w:val="0000FF"/>
      <w:u w:val="single"/>
    </w:rPr>
  </w:style>
  <w:style w:type="character" w:customStyle="1" w:styleId="16">
    <w:name w:val="标题 1 字符"/>
    <w:basedOn w:val="13"/>
    <w:link w:val="2"/>
    <w:qFormat/>
    <w:locked/>
    <w:uiPriority w:val="0"/>
    <w:rPr>
      <w:rFonts w:cs="Times New Roman"/>
      <w:b/>
      <w:bCs/>
      <w:kern w:val="44"/>
      <w:sz w:val="44"/>
      <w:szCs w:val="44"/>
    </w:rPr>
  </w:style>
  <w:style w:type="character" w:customStyle="1" w:styleId="17">
    <w:name w:val="black000"/>
    <w:basedOn w:val="13"/>
    <w:qFormat/>
    <w:uiPriority w:val="0"/>
    <w:rPr>
      <w:rFonts w:cs="Times New Roman"/>
    </w:rPr>
  </w:style>
  <w:style w:type="character" w:customStyle="1" w:styleId="18">
    <w:name w:val="正文文本缩进 字符"/>
    <w:basedOn w:val="13"/>
    <w:link w:val="5"/>
    <w:semiHidden/>
    <w:qFormat/>
    <w:locked/>
    <w:uiPriority w:val="0"/>
    <w:rPr>
      <w:rFonts w:cs="Times New Roman"/>
      <w:sz w:val="24"/>
      <w:szCs w:val="24"/>
    </w:rPr>
  </w:style>
  <w:style w:type="character" w:customStyle="1" w:styleId="19">
    <w:name w:val="正文文本缩进 2 字符"/>
    <w:basedOn w:val="13"/>
    <w:link w:val="6"/>
    <w:semiHidden/>
    <w:qFormat/>
    <w:locked/>
    <w:uiPriority w:val="0"/>
    <w:rPr>
      <w:rFonts w:cs="Times New Roman"/>
      <w:sz w:val="24"/>
      <w:szCs w:val="24"/>
    </w:rPr>
  </w:style>
  <w:style w:type="character" w:customStyle="1" w:styleId="20">
    <w:name w:val="正文文本缩进 3 字符"/>
    <w:basedOn w:val="13"/>
    <w:link w:val="10"/>
    <w:semiHidden/>
    <w:qFormat/>
    <w:locked/>
    <w:uiPriority w:val="0"/>
    <w:rPr>
      <w:rFonts w:cs="Times New Roman"/>
      <w:sz w:val="16"/>
      <w:szCs w:val="16"/>
    </w:rPr>
  </w:style>
  <w:style w:type="character" w:customStyle="1" w:styleId="21">
    <w:name w:val="文档结构图 字符"/>
    <w:basedOn w:val="13"/>
    <w:link w:val="3"/>
    <w:semiHidden/>
    <w:qFormat/>
    <w:locked/>
    <w:uiPriority w:val="0"/>
    <w:rPr>
      <w:rFonts w:cs="Times New Roman"/>
      <w:sz w:val="2"/>
    </w:rPr>
  </w:style>
  <w:style w:type="character" w:customStyle="1" w:styleId="22">
    <w:name w:val="批注框文本 字符"/>
    <w:basedOn w:val="13"/>
    <w:link w:val="7"/>
    <w:semiHidden/>
    <w:qFormat/>
    <w:locked/>
    <w:uiPriority w:val="0"/>
    <w:rPr>
      <w:rFonts w:cs="Times New Roman"/>
      <w:sz w:val="2"/>
    </w:rPr>
  </w:style>
  <w:style w:type="character" w:customStyle="1" w:styleId="23">
    <w:name w:val="页脚 字符"/>
    <w:basedOn w:val="13"/>
    <w:link w:val="8"/>
    <w:semiHidden/>
    <w:qFormat/>
    <w:locked/>
    <w:uiPriority w:val="0"/>
    <w:rPr>
      <w:rFonts w:cs="Times New Roman"/>
      <w:sz w:val="18"/>
      <w:szCs w:val="18"/>
    </w:rPr>
  </w:style>
  <w:style w:type="character" w:customStyle="1" w:styleId="24">
    <w:name w:val="页眉 字符"/>
    <w:basedOn w:val="13"/>
    <w:link w:val="9"/>
    <w:qFormat/>
    <w:locked/>
    <w:uiPriority w:val="0"/>
    <w:rPr>
      <w:rFonts w:cs="Times New Roman"/>
      <w:kern w:val="2"/>
      <w:sz w:val="18"/>
    </w:rPr>
  </w:style>
  <w:style w:type="paragraph" w:customStyle="1" w:styleId="25">
    <w:name w:val="List Paragraph1"/>
    <w:basedOn w:val="1"/>
    <w:qFormat/>
    <w:uiPriority w:val="0"/>
    <w:pPr>
      <w:ind w:firstLine="420" w:firstLineChars="200"/>
    </w:pPr>
  </w:style>
  <w:style w:type="paragraph" w:customStyle="1" w:styleId="26">
    <w:name w:val="Char Char Char Char"/>
    <w:basedOn w:val="1"/>
    <w:qFormat/>
    <w:uiPriority w:val="0"/>
    <w:rPr>
      <w:szCs w:val="20"/>
    </w:rPr>
  </w:style>
  <w:style w:type="character" w:customStyle="1" w:styleId="27">
    <w:name w:val="apple-converted-space"/>
    <w:basedOn w:val="13"/>
    <w:qFormat/>
    <w:uiPriority w:val="0"/>
    <w:rPr>
      <w:rFonts w:cs="Times New Roman"/>
    </w:rPr>
  </w:style>
  <w:style w:type="paragraph" w:customStyle="1" w:styleId="28">
    <w:name w:val="列出段落1"/>
    <w:basedOn w:val="1"/>
    <w:qFormat/>
    <w:uiPriority w:val="0"/>
    <w:pPr>
      <w:ind w:firstLine="420" w:firstLineChars="200"/>
    </w:pPr>
    <w:rPr>
      <w:rFonts w:ascii="Calibri" w:hAnsi="Calibri"/>
      <w:szCs w:val="22"/>
    </w:rPr>
  </w:style>
  <w:style w:type="paragraph" w:styleId="29">
    <w:name w:val="List Paragraph"/>
    <w:basedOn w:val="1"/>
    <w:qFormat/>
    <w:uiPriority w:val="34"/>
    <w:pPr>
      <w:ind w:firstLine="420" w:firstLineChars="200"/>
    </w:pPr>
  </w:style>
  <w:style w:type="character" w:customStyle="1" w:styleId="30">
    <w:name w:val="正文文本 字符"/>
    <w:basedOn w:val="13"/>
    <w:link w:val="4"/>
    <w:qFormat/>
    <w:uiPriority w:val="0"/>
    <w:rPr>
      <w:rFonts w:ascii="仿宋_GB2312" w:hAnsi="仿宋_GB2312" w:eastAsia="黑体"/>
      <w:kern w:val="2"/>
      <w:sz w:val="21"/>
      <w:szCs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12</Pages>
  <Words>180</Words>
  <Characters>183</Characters>
  <Lines>39</Lines>
  <Paragraphs>11</Paragraphs>
  <TotalTime>1</TotalTime>
  <ScaleCrop>false</ScaleCrop>
  <LinksUpToDate>false</LinksUpToDate>
  <CharactersWithSpaces>185</CharactersWithSpaces>
  <Application>WPS Office_11.8.2.11818_F1E327BC-269C-435d-A152-05C5408002CA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2026-03-06T22:22:00Z</dcterms:created>
  <dc:creator>han_s</dc:creator>
  <cp:lastModifiedBy>admin</cp:lastModifiedBy>
  <cp:lastPrinted>2014-06-02T06:37:00Z</cp:lastPrinted>
  <dcterms:modified xsi:type="dcterms:W3CDTF">2026-07-02T10:19:00Z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2052-11.8.2.11818</vt:lpwstr>
  </property>
  <property fmtid="{D5CDD505-2E9C-101B-9397-08002B2CF9AE}" pid="3" name="ICV">
    <vt:lpwstr>1900DE2D02B149D3BEFF632607D1CEFF</vt:lpwstr>
  </property>
  <property fmtid="{D5CDD505-2E9C-101B-9397-08002B2CF9AE}" pid="4" name="KSOTemplateDocerSaveRecord">
    <vt:lpwstr>eyJoZGlkIjoiMTUwYTY0MGM3ZjczMTVkYjQ5ZTc3MzI4MmY2ZTUzMTIiLCJ1c2VySWQiOiIzOTU4MjY3NDQifQ==</vt:lpwstr>
  </property>
</Properties>
</file>