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华文新魏" w:eastAsia="华文新魏"/>
          <w:sz w:val="52"/>
          <w:szCs w:val="52"/>
        </w:rPr>
      </w:pPr>
      <w:r>
        <w:rPr>
          <w:rFonts w:ascii="华文新魏" w:eastAsia="华文新魏"/>
          <w:sz w:val="52"/>
          <w:szCs w:val="52"/>
        </w:rPr>
        <mc:AlternateContent>
          <mc:Choice Requires="wps">
            <w:drawing>
              <wp:anchor distT="0" distB="0" distL="114300" distR="114300" simplePos="0" relativeHeight="251659264" behindDoc="0" locked="0" layoutInCell="1" allowOverlap="1">
                <wp:simplePos x="0" y="0"/>
                <wp:positionH relativeFrom="column">
                  <wp:posOffset>-214630</wp:posOffset>
                </wp:positionH>
                <wp:positionV relativeFrom="paragraph">
                  <wp:posOffset>99060</wp:posOffset>
                </wp:positionV>
                <wp:extent cx="2083435" cy="471805"/>
                <wp:effectExtent l="0" t="0" r="12065" b="24130"/>
                <wp:wrapNone/>
                <wp:docPr id="1" name="Text Box 4"/>
                <wp:cNvGraphicFramePr/>
                <a:graphic xmlns:a="http://schemas.openxmlformats.org/drawingml/2006/main">
                  <a:graphicData uri="http://schemas.microsoft.com/office/word/2010/wordprocessingShape">
                    <wps:wsp>
                      <wps:cNvSpPr txBox="1">
                        <a:spLocks noChangeArrowheads="1"/>
                      </wps:cNvSpPr>
                      <wps:spPr bwMode="auto">
                        <a:xfrm>
                          <a:off x="0" y="0"/>
                          <a:ext cx="2083435" cy="471665"/>
                        </a:xfrm>
                        <a:prstGeom prst="rect">
                          <a:avLst/>
                        </a:prstGeom>
                        <a:solidFill>
                          <a:srgbClr val="FFFFFF"/>
                        </a:solidFill>
                        <a:ln w="12700">
                          <a:solidFill>
                            <a:srgbClr val="000000"/>
                          </a:solidFill>
                          <a:miter lim="800000"/>
                        </a:ln>
                      </wps:spPr>
                      <wps:txbx>
                        <w:txbxContent>
                          <w:p>
                            <w:pPr>
                              <w:jc w:val="center"/>
                              <w:rPr>
                                <w:rFonts w:hint="eastAsia" w:ascii="宋体" w:hAnsi="宋体"/>
                                <w:b/>
                                <w:bCs/>
                                <w:sz w:val="24"/>
                              </w:rPr>
                            </w:pPr>
                            <w:r>
                              <w:rPr>
                                <w:rFonts w:hint="eastAsia" w:ascii="宋体" w:hAnsi="宋体"/>
                                <w:b/>
                                <w:bCs/>
                                <w:sz w:val="24"/>
                              </w:rPr>
                              <w:t>第十九届“振兴杯”全国</w:t>
                            </w:r>
                          </w:p>
                          <w:p>
                            <w:pPr>
                              <w:jc w:val="center"/>
                              <w:rPr>
                                <w:b/>
                                <w:bCs/>
                                <w:sz w:val="24"/>
                              </w:rPr>
                            </w:pPr>
                            <w:r>
                              <w:rPr>
                                <w:rFonts w:hint="eastAsia" w:ascii="宋体" w:hAnsi="宋体"/>
                                <w:b/>
                                <w:bCs/>
                                <w:sz w:val="24"/>
                              </w:rPr>
                              <w:t>青年职业技能大赛技术文件</w:t>
                            </w:r>
                          </w:p>
                        </w:txbxContent>
                      </wps:txbx>
                      <wps:bodyPr rot="0" vert="horz" wrap="square" lIns="91440" tIns="45720" rIns="91440" bIns="45720" anchor="t" anchorCtr="0" upright="1">
                        <a:noAutofit/>
                      </wps:bodyPr>
                    </wps:wsp>
                  </a:graphicData>
                </a:graphic>
              </wp:anchor>
            </w:drawing>
          </mc:Choice>
          <mc:Fallback>
            <w:pict>
              <v:shape id="Text Box 4" o:spid="_x0000_s1026" o:spt="202" type="#_x0000_t202" style="position:absolute;left:0pt;margin-left:-16.9pt;margin-top:7.8pt;height:37.15pt;width:164.05pt;z-index:251659264;mso-width-relative:page;mso-height-relative:page;" fillcolor="#FFFFFF" filled="t" stroked="t" coordsize="21600,21600" o:gfxdata="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">
                <v:fill on="t" focussize="0,0"/>
                <v:stroke weight="1pt" color="#000000" miterlimit="8" joinstyle="miter"/>
                <v:imagedata o:title=""/>
                <o:lock v:ext="edit" aspectratio="f"/>
                <v:textbox>
                  <w:txbxContent>
                    <w:p>
                      <w:pPr>
                        <w:jc w:val="center"/>
                        <w:rPr>
                          <w:rFonts w:hint="eastAsia" w:ascii="宋体" w:hAnsi="宋体"/>
                          <w:b/>
                          <w:bCs/>
                          <w:sz w:val="24"/>
                        </w:rPr>
                      </w:pPr>
                      <w:r>
                        <w:rPr>
                          <w:rFonts w:hint="eastAsia" w:ascii="宋体" w:hAnsi="宋体"/>
                          <w:b/>
                          <w:bCs/>
                          <w:sz w:val="24"/>
                        </w:rPr>
                        <w:t>第十九届“振兴杯”全国</w:t>
                      </w:r>
                    </w:p>
                    <w:p>
                      <w:pPr>
                        <w:jc w:val="center"/>
                        <w:rPr>
                          <w:b/>
                          <w:bCs/>
                          <w:sz w:val="24"/>
                        </w:rPr>
                      </w:pPr>
                      <w:r>
                        <w:rPr>
                          <w:rFonts w:hint="eastAsia" w:ascii="宋体" w:hAnsi="宋体"/>
                          <w:b/>
                          <w:bCs/>
                          <w:sz w:val="24"/>
                        </w:rPr>
                        <w:t>青年职业技能大赛技术文件</w:t>
                      </w:r>
                    </w:p>
                  </w:txbxContent>
                </v:textbox>
              </v:shape>
            </w:pict>
          </mc:Fallback>
        </mc:AlternateContent>
      </w:r>
    </w:p>
    <w:p>
      <w:pPr>
        <w:jc w:val="center"/>
        <w:rPr>
          <w:rFonts w:ascii="华文新魏" w:eastAsia="华文新魏"/>
          <w:sz w:val="52"/>
          <w:szCs w:val="52"/>
        </w:rPr>
      </w:pPr>
    </w:p>
    <w:p>
      <w:pPr>
        <w:jc w:val="center"/>
        <w:rPr>
          <w:rFonts w:ascii="华文新魏" w:eastAsia="华文新魏"/>
          <w:sz w:val="52"/>
          <w:szCs w:val="52"/>
        </w:rPr>
      </w:pPr>
    </w:p>
    <w:p>
      <w:pPr>
        <w:jc w:val="center"/>
        <w:rPr>
          <w:rFonts w:hint="eastAsia" w:ascii="黑体" w:hAnsi="黑体" w:eastAsia="黑体" w:cs="黑体"/>
          <w:sz w:val="52"/>
          <w:szCs w:val="52"/>
        </w:rPr>
      </w:pPr>
      <w:r>
        <w:rPr>
          <w:rFonts w:hint="eastAsia" w:ascii="黑体" w:hAnsi="黑体" w:eastAsia="黑体" w:cs="黑体"/>
          <w:sz w:val="52"/>
          <w:szCs w:val="52"/>
        </w:rPr>
        <w:t>数字化解决方案设计师赛项</w:t>
      </w:r>
    </w:p>
    <w:p>
      <w:pPr>
        <w:jc w:val="center"/>
        <w:rPr>
          <w:rFonts w:hint="eastAsia" w:ascii="黑体" w:hAnsi="黑体" w:eastAsia="黑体" w:cs="黑体"/>
          <w:sz w:val="52"/>
          <w:szCs w:val="52"/>
        </w:rPr>
      </w:pPr>
      <w:r>
        <w:rPr>
          <w:rFonts w:hint="eastAsia" w:ascii="黑体" w:hAnsi="黑体" w:eastAsia="黑体" w:cs="黑体"/>
          <w:sz w:val="52"/>
          <w:szCs w:val="52"/>
        </w:rPr>
        <w:t>技术文件（职工组）</w:t>
      </w:r>
    </w:p>
    <w:p>
      <w:pPr>
        <w:jc w:val="center"/>
        <w:rPr>
          <w:rFonts w:ascii="华文新魏" w:eastAsia="华文新魏"/>
          <w:sz w:val="72"/>
          <w:szCs w:val="7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hint="eastAsia" w:ascii="黑体" w:hAnsi="黑体" w:eastAsia="黑体" w:cs="黑体"/>
          <w:b/>
          <w:sz w:val="32"/>
          <w:szCs w:val="32"/>
        </w:rPr>
      </w:pPr>
      <w:r>
        <w:rPr>
          <w:rFonts w:hint="eastAsia" w:ascii="黑体" w:hAnsi="黑体" w:eastAsia="黑体" w:cs="黑体"/>
          <w:b/>
          <w:sz w:val="32"/>
          <w:szCs w:val="32"/>
        </w:rPr>
        <w:t>第十九届“振兴杯”全国青年职业技能大赛组委会</w:t>
      </w:r>
    </w:p>
    <w:p>
      <w:pPr>
        <w:jc w:val="center"/>
        <w:rPr>
          <w:rFonts w:hint="eastAsia" w:ascii="黑体" w:hAnsi="黑体" w:eastAsia="黑体" w:cs="黑体"/>
          <w:b/>
          <w:sz w:val="32"/>
          <w:szCs w:val="32"/>
        </w:rPr>
      </w:pPr>
      <w:r>
        <w:rPr>
          <w:rFonts w:hint="eastAsia" w:ascii="黑体" w:hAnsi="黑体" w:eastAsia="黑体" w:cs="黑体"/>
          <w:b/>
          <w:sz w:val="32"/>
          <w:szCs w:val="32"/>
        </w:rPr>
        <w:t xml:space="preserve">2026年 </w:t>
      </w:r>
      <w:r>
        <w:rPr>
          <w:rFonts w:hint="eastAsia" w:ascii="黑体" w:hAnsi="黑体" w:eastAsia="黑体" w:cs="黑体"/>
          <w:b/>
          <w:sz w:val="32"/>
          <w:szCs w:val="32"/>
          <w:lang w:val="en-US" w:eastAsia="zh-CN"/>
        </w:rPr>
        <w:t>7</w:t>
      </w:r>
      <w:bookmarkStart w:id="24" w:name="_GoBack"/>
      <w:bookmarkEnd w:id="24"/>
      <w:r>
        <w:rPr>
          <w:rFonts w:hint="eastAsia" w:ascii="黑体" w:hAnsi="黑体" w:eastAsia="黑体" w:cs="黑体"/>
          <w:b/>
          <w:sz w:val="32"/>
          <w:szCs w:val="32"/>
        </w:rPr>
        <w:t xml:space="preserve"> 月</w:t>
      </w:r>
    </w:p>
    <w:p>
      <w:pPr>
        <w:jc w:val="center"/>
        <w:rPr>
          <w:rFonts w:hint="eastAsia" w:ascii="黑体" w:hAnsi="黑体" w:eastAsia="黑体" w:cs="黑体"/>
          <w:b/>
          <w:sz w:val="32"/>
          <w:szCs w:val="32"/>
        </w:rPr>
      </w:pPr>
    </w:p>
    <w:p>
      <w:pPr>
        <w:jc w:val="center"/>
        <w:rPr>
          <w:rFonts w:hint="eastAsia" w:ascii="黑体" w:hAnsi="黑体" w:eastAsia="黑体" w:cs="黑体"/>
          <w:b/>
          <w:sz w:val="32"/>
          <w:szCs w:val="32"/>
        </w:rPr>
      </w:pPr>
    </w:p>
    <w:p>
      <w:pPr>
        <w:spacing w:line="500" w:lineRule="exact"/>
        <w:jc w:val="center"/>
        <w:rPr>
          <w:rFonts w:hint="eastAsia" w:ascii="黑体" w:hAnsi="黑体" w:eastAsia="黑体" w:cs="黑体"/>
          <w:b/>
          <w:bCs/>
          <w:sz w:val="32"/>
          <w:szCs w:val="32"/>
        </w:rPr>
      </w:pPr>
      <w:r>
        <w:rPr>
          <w:rFonts w:hint="eastAsia" w:ascii="黑体" w:hAnsi="黑体" w:eastAsia="黑体" w:cs="黑体"/>
          <w:b/>
          <w:bCs/>
          <w:sz w:val="32"/>
          <w:szCs w:val="32"/>
        </w:rPr>
        <w:t>第十九届“振兴杯”全国青年职业技能大赛</w:t>
      </w:r>
    </w:p>
    <w:p>
      <w:pPr>
        <w:spacing w:line="500" w:lineRule="exact"/>
        <w:jc w:val="center"/>
        <w:rPr>
          <w:rFonts w:hint="eastAsia" w:ascii="黑体" w:hAnsi="黑体" w:eastAsia="黑体" w:cs="黑体"/>
          <w:b/>
          <w:bCs/>
          <w:sz w:val="32"/>
          <w:szCs w:val="32"/>
        </w:rPr>
      </w:pPr>
      <w:r>
        <w:rPr>
          <w:rFonts w:hint="eastAsia" w:ascii="黑体" w:hAnsi="黑体" w:eastAsia="黑体" w:cs="黑体"/>
          <w:b/>
          <w:bCs/>
          <w:sz w:val="32"/>
          <w:szCs w:val="32"/>
        </w:rPr>
        <w:t>数字化解决方案设计师赛项（职工组）决赛技术文件</w:t>
      </w:r>
    </w:p>
    <w:p>
      <w:pPr>
        <w:spacing w:before="156" w:beforeLines="50" w:after="156" w:afterLines="50" w:line="360" w:lineRule="auto"/>
        <w:ind w:firstLine="602" w:firstLineChars="200"/>
        <w:rPr>
          <w:rFonts w:hint="eastAsia" w:ascii="仿宋" w:hAnsi="仿宋" w:eastAsia="仿宋"/>
          <w:b/>
          <w:bCs/>
          <w:sz w:val="28"/>
          <w:szCs w:val="28"/>
        </w:rPr>
      </w:pPr>
      <w:r>
        <w:rPr>
          <w:rFonts w:hint="eastAsia" w:ascii="黑体" w:hAnsi="黑体" w:eastAsia="黑体" w:cs="黑体"/>
          <w:b/>
          <w:bCs/>
          <w:sz w:val="30"/>
          <w:szCs w:val="30"/>
        </w:rPr>
        <w:t>一、竞赛标准</w:t>
      </w:r>
    </w:p>
    <w:p>
      <w:pPr>
        <w:spacing w:line="360" w:lineRule="auto"/>
        <w:ind w:firstLine="480" w:firstLineChars="200"/>
        <w:rPr>
          <w:rFonts w:hint="eastAsia" w:ascii="仿宋" w:hAnsi="仿宋" w:eastAsia="仿宋"/>
          <w:sz w:val="24"/>
        </w:rPr>
      </w:pPr>
      <w:r>
        <w:rPr>
          <w:rFonts w:hint="eastAsia" w:ascii="Noto Sans Mono CJK JP Regular" w:hAnsi="Noto Sans Mono CJK JP Regular" w:eastAsia="华文细黑" w:cs="Noto Sans Mono CJK JP Regular"/>
          <w:kern w:val="0"/>
          <w:sz w:val="24"/>
          <w:szCs w:val="22"/>
        </w:rPr>
        <w:t>数字化解决方案设计师项目的技术标准是以《数字化解决方案设计师国家职业标准》高级(国家职业资格三级)为基础，并涵盖国家职业资格三级以下和部分技师（国家职业资格二级）的内容。</w:t>
      </w:r>
    </w:p>
    <w:p>
      <w:pPr>
        <w:spacing w:before="156" w:beforeLines="50" w:after="156" w:afterLines="50" w:line="360" w:lineRule="auto"/>
        <w:ind w:firstLine="602" w:firstLineChars="200"/>
        <w:rPr>
          <w:rFonts w:hint="eastAsia" w:ascii="仿宋" w:hAnsi="仿宋" w:eastAsia="仿宋"/>
          <w:b/>
          <w:bCs/>
          <w:sz w:val="28"/>
          <w:szCs w:val="28"/>
        </w:rPr>
      </w:pPr>
      <w:r>
        <w:rPr>
          <w:rFonts w:hint="eastAsia" w:ascii="黑体" w:hAnsi="黑体" w:eastAsia="黑体" w:cs="黑体"/>
          <w:b/>
          <w:bCs/>
          <w:sz w:val="30"/>
          <w:szCs w:val="30"/>
        </w:rPr>
        <w:t>二、命题原则</w:t>
      </w:r>
    </w:p>
    <w:p>
      <w:pPr>
        <w:spacing w:line="360" w:lineRule="auto"/>
        <w:ind w:firstLine="480" w:firstLineChars="200"/>
        <w:rPr>
          <w:rFonts w:hint="eastAsia" w:ascii="仿宋" w:hAnsi="仿宋" w:eastAsia="仿宋"/>
          <w:sz w:val="24"/>
        </w:rPr>
      </w:pPr>
      <w:r>
        <w:rPr>
          <w:rFonts w:hint="eastAsia" w:ascii="Noto Sans Mono CJK JP Regular" w:hAnsi="Noto Sans Mono CJK JP Regular" w:eastAsia="华文细黑" w:cs="Noto Sans Mono CJK JP Regular"/>
          <w:kern w:val="0"/>
          <w:sz w:val="24"/>
          <w:szCs w:val="22"/>
        </w:rPr>
        <w:t>依据《数字化解决方案设计师国家职业标准》，注重基本技能和专业化操作，注重操作过程和质量控制，注重安全生产以及职业道德和标准规范，体现现代技术，结合生产实际，考核职业综合能力，并对技能人才培养起到示范指导作用。</w:t>
      </w:r>
    </w:p>
    <w:p>
      <w:pPr>
        <w:spacing w:before="156" w:beforeLines="50" w:after="156" w:afterLines="50" w:line="360" w:lineRule="auto"/>
        <w:ind w:firstLine="602" w:firstLineChars="200"/>
        <w:rPr>
          <w:rFonts w:hint="eastAsia" w:ascii="仿宋" w:hAnsi="仿宋" w:eastAsia="仿宋"/>
          <w:b/>
          <w:bCs/>
          <w:sz w:val="28"/>
          <w:szCs w:val="28"/>
        </w:rPr>
      </w:pPr>
      <w:r>
        <w:rPr>
          <w:rFonts w:hint="eastAsia" w:ascii="黑体" w:hAnsi="黑体" w:eastAsia="黑体" w:cs="黑体"/>
          <w:b/>
          <w:bCs/>
          <w:sz w:val="30"/>
          <w:szCs w:val="30"/>
        </w:rPr>
        <w:t>三、竞赛方式、时间与成绩计算</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（一）竞赛方式</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竞赛包括理论知识和实际操作竞赛两部分，均由1名选手独立完成。</w:t>
      </w:r>
    </w:p>
    <w:p>
      <w:pPr>
        <w:tabs>
          <w:tab w:val="left" w:pos="3240"/>
        </w:tabs>
        <w:spacing w:line="360" w:lineRule="auto"/>
        <w:ind w:firstLine="480" w:firstLineChars="200"/>
        <w:rPr>
          <w:rFonts w:ascii="Calibri" w:hAnsi="Calibri" w:eastAsia="华文细黑"/>
          <w:b/>
          <w:bCs/>
          <w:sz w:val="24"/>
        </w:rPr>
      </w:pPr>
      <w:r>
        <w:rPr>
          <w:rFonts w:hint="eastAsia" w:ascii="Calibri" w:hAnsi="Calibri" w:eastAsia="华文细黑"/>
          <w:b/>
          <w:bCs/>
          <w:sz w:val="24"/>
        </w:rPr>
        <w:t>（二）竞赛时间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1．理论知识竞赛时间80分钟。</w:t>
      </w:r>
    </w:p>
    <w:p>
      <w:pPr>
        <w:spacing w:line="360" w:lineRule="auto"/>
        <w:ind w:firstLine="480" w:firstLineChars="200"/>
        <w:rPr>
          <w:rFonts w:ascii="Calibri" w:hAnsi="Calibri" w:eastAsia="华文细黑"/>
          <w:b/>
          <w:bCs/>
          <w:sz w:val="24"/>
        </w:rPr>
      </w:pPr>
      <w:r>
        <w:rPr>
          <w:rFonts w:hint="eastAsia" w:ascii="Noto Sans Mono CJK JP Regular" w:hAnsi="Noto Sans Mono CJK JP Regular" w:eastAsia="华文细黑" w:cs="Noto Sans Mono CJK JP Regular"/>
          <w:kern w:val="0"/>
          <w:sz w:val="24"/>
          <w:szCs w:val="22"/>
        </w:rPr>
        <w:t>2．实际操作竞赛总时间190分钟（不含评分时间），其中模块一操作比赛时间75分钟（不含评分时间），模块二操作比赛时间115分钟（不含评分时间）。</w:t>
      </w:r>
      <w:r>
        <w:rPr>
          <w:rFonts w:hint="eastAsia" w:ascii="Calibri" w:hAnsi="Calibri" w:eastAsia="华文细黑"/>
          <w:b/>
          <w:bCs/>
          <w:sz w:val="24"/>
        </w:rPr>
        <w:t>（三）成绩计算</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竞赛总成绩由理论知识和实际操作比赛两部分成绩组成。竞赛总成绩作为参赛选手名次排序的依据。</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若参赛选手总成绩相同，实际操作比赛成绩高的选手名次在前。参赛选手总成绩和实际操作比赛成绩均相同，实际操作模块二得分高的选手名次在前。参赛选手总成绩、实际操作比赛成绩和实际操作模块二比赛成绩均相同，则按照实际操作模块二得分模块的子模块次序进行优先排序，从子模块一开始依次比较各得分模块的分数，分数不相同的模块，该模块得分高的选手名次在前。如果模块</w:t>
      </w:r>
      <w:bookmarkStart w:id="0" w:name="OLE_LINK3"/>
      <w:r>
        <w:rPr>
          <w:rFonts w:hint="eastAsia" w:ascii="Noto Sans Mono CJK JP Regular" w:hAnsi="Noto Sans Mono CJK JP Regular" w:eastAsia="华文细黑" w:cs="Noto Sans Mono CJK JP Regular"/>
          <w:kern w:val="0"/>
          <w:sz w:val="24"/>
          <w:szCs w:val="22"/>
        </w:rPr>
        <w:t>二</w:t>
      </w:r>
      <w:bookmarkEnd w:id="0"/>
      <w:r>
        <w:rPr>
          <w:rFonts w:hint="eastAsia" w:ascii="Noto Sans Mono CJK JP Regular" w:hAnsi="Noto Sans Mono CJK JP Regular" w:eastAsia="华文细黑" w:cs="Noto Sans Mono CJK JP Regular"/>
          <w:kern w:val="0"/>
          <w:sz w:val="24"/>
          <w:szCs w:val="22"/>
        </w:rPr>
        <w:t>得分的模块仍旧无法分出选手的成绩名次，则依据同样的办法进行模块一得分的比较来确定名次。</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1．理论知识竞赛（计算机答题）满分100分，占总成绩的30％（其中时事政治题占总成绩的10％）。</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2．实际操作成绩满分100分，占总成绩的70％。其中模块一满分30分，模块二满分70分。</w:t>
      </w:r>
    </w:p>
    <w:p>
      <w:pPr>
        <w:spacing w:before="156" w:beforeLines="50" w:after="156" w:afterLines="50" w:line="360" w:lineRule="auto"/>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四、竞赛范围、比重、类型及其它</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（一）理论知识竞赛</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1．试题范围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bookmarkStart w:id="1" w:name="OLE_LINK1"/>
      <w:r>
        <w:rPr>
          <w:rFonts w:hint="eastAsia" w:ascii="Noto Sans Mono CJK JP Regular" w:hAnsi="Noto Sans Mono CJK JP Regular" w:eastAsia="华文细黑" w:cs="Noto Sans Mono CJK JP Regular"/>
          <w:kern w:val="0"/>
          <w:sz w:val="24"/>
          <w:szCs w:val="22"/>
        </w:rPr>
        <w:t>理论知识竞赛</w:t>
      </w:r>
      <w:bookmarkEnd w:id="1"/>
      <w:r>
        <w:rPr>
          <w:rFonts w:hint="eastAsia" w:ascii="Noto Sans Mono CJK JP Regular" w:hAnsi="Noto Sans Mono CJK JP Regular" w:eastAsia="华文细黑" w:cs="Noto Sans Mono CJK JP Regular"/>
          <w:kern w:val="0"/>
          <w:sz w:val="24"/>
          <w:szCs w:val="22"/>
        </w:rPr>
        <w:t>以竞赛题库作为参考资料，决赛前两个月在团中央网站上公布理论知识竞赛题库（不含时事政治题），时事政治题单独命题。</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bookmarkStart w:id="2" w:name="OLE_LINK4"/>
      <w:r>
        <w:rPr>
          <w:rFonts w:hint="eastAsia" w:ascii="Noto Sans Mono CJK JP Regular" w:hAnsi="Noto Sans Mono CJK JP Regular" w:eastAsia="华文细黑" w:cs="Noto Sans Mono CJK JP Regular"/>
          <w:kern w:val="0"/>
          <w:sz w:val="24"/>
          <w:szCs w:val="22"/>
        </w:rPr>
        <w:t>考核内容：主要包括数字化转型战略与政策、需求分析与业务建模、云计算与云原生架构、大数据与人工智能基础、物联网与通信技术、系统设计与解决方案架构、数据安全与合规管理、行业应用场景与项目交付、安全生产与环境保护知识以及数字化解决方案设计师涉国家标职业准涉及的其它技术等。</w:t>
      </w:r>
    </w:p>
    <w:bookmarkEnd w:id="2"/>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2．试题题型</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竞赛试题包括判断题与选择题两种类型。</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3．竞赛方式</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理论知识竞赛采用计算机软件答题。决赛前一个月可以在大赛官网上模拟答题。</w:t>
      </w:r>
    </w:p>
    <w:p>
      <w:pPr>
        <w:tabs>
          <w:tab w:val="left" w:pos="3240"/>
        </w:tabs>
        <w:spacing w:line="360" w:lineRule="auto"/>
        <w:ind w:firstLine="480" w:firstLineChars="200"/>
        <w:rPr>
          <w:rFonts w:ascii="Calibri" w:hAnsi="Calibri" w:eastAsia="华文细黑"/>
          <w:b/>
          <w:bCs/>
          <w:sz w:val="24"/>
        </w:rPr>
      </w:pPr>
      <w:r>
        <w:rPr>
          <w:rFonts w:hint="eastAsia" w:ascii="Calibri" w:hAnsi="Calibri" w:eastAsia="华文细黑"/>
          <w:b/>
          <w:bCs/>
          <w:sz w:val="24"/>
        </w:rPr>
        <w:t>（二）实际操作竞赛</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本次实操竞赛以操作技能为主，安全文明生产在实际操作比赛过程中进行考查，不再单独命题。</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1.试题范围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 xml:space="preserve">（1）模块一 </w:t>
      </w:r>
      <w:bookmarkStart w:id="3" w:name="OLE_LINK11"/>
      <w:r>
        <w:rPr>
          <w:rFonts w:hint="eastAsia" w:ascii="Noto Sans Mono CJK JP Regular" w:hAnsi="Noto Sans Mono CJK JP Regular" w:eastAsia="华文细黑" w:cs="Noto Sans Mono CJK JP Regular"/>
          <w:kern w:val="0"/>
          <w:sz w:val="24"/>
          <w:szCs w:val="22"/>
        </w:rPr>
        <w:t>数字化专网规划部署与行业应用</w:t>
      </w:r>
      <w:bookmarkEnd w:id="3"/>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根据竞赛组委会提供的竞赛平台和有关资料及操作技能要求，参赛的选手完成下列工作任务：</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1）根据任务书场景需求，开展</w:t>
      </w:r>
      <w:bookmarkStart w:id="4" w:name="OLE_LINK15"/>
      <w:r>
        <w:rPr>
          <w:rFonts w:ascii="Noto Sans Mono CJK JP Regular" w:hAnsi="Noto Sans Mono CJK JP Regular" w:eastAsia="华文细黑" w:cs="Noto Sans Mono CJK JP Regular"/>
          <w:kern w:val="0"/>
          <w:sz w:val="24"/>
          <w:szCs w:val="22"/>
        </w:rPr>
        <w:t>数字化专网</w:t>
      </w:r>
      <w:bookmarkStart w:id="5" w:name="OLE_LINK14"/>
      <w:r>
        <w:rPr>
          <w:rFonts w:ascii="Noto Sans Mono CJK JP Regular" w:hAnsi="Noto Sans Mono CJK JP Regular" w:eastAsia="华文细黑" w:cs="Noto Sans Mono CJK JP Regular"/>
          <w:kern w:val="0"/>
          <w:sz w:val="24"/>
          <w:szCs w:val="22"/>
        </w:rPr>
        <w:t>场景建模与需求分析</w:t>
      </w:r>
      <w:bookmarkEnd w:id="4"/>
      <w:bookmarkEnd w:id="5"/>
      <w:r>
        <w:rPr>
          <w:rFonts w:ascii="Noto Sans Mono CJK JP Regular" w:hAnsi="Noto Sans Mono CJK JP Regular" w:eastAsia="华文细黑" w:cs="Noto Sans Mono CJK JP Regular"/>
          <w:kern w:val="0"/>
          <w:sz w:val="24"/>
          <w:szCs w:val="22"/>
        </w:rPr>
        <w:t>；</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2）基于需求分析结果，进行数字化专网规划设计，完成网络设备的部署、连接与基础配置，实现专网物理层架构的搭建；</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3</w:t>
      </w:r>
      <w:r>
        <w:rPr>
          <w:rFonts w:ascii="Noto Sans Mono CJK JP Regular" w:hAnsi="Noto Sans Mono CJK JP Regular" w:eastAsia="华文细黑" w:cs="Noto Sans Mono CJK JP Regular"/>
          <w:kern w:val="0"/>
          <w:sz w:val="24"/>
          <w:szCs w:val="22"/>
        </w:rPr>
        <w:t>）</w:t>
      </w:r>
      <w:r>
        <w:rPr>
          <w:rFonts w:hint="eastAsia" w:ascii="Noto Sans Mono CJK JP Regular" w:hAnsi="Noto Sans Mono CJK JP Regular" w:eastAsia="华文细黑" w:cs="Noto Sans Mono CJK JP Regular"/>
          <w:kern w:val="0"/>
          <w:sz w:val="24"/>
          <w:szCs w:val="22"/>
        </w:rPr>
        <w:t>按照任务书要求，</w:t>
      </w:r>
      <w:r>
        <w:rPr>
          <w:rFonts w:ascii="Noto Sans Mono CJK JP Regular" w:hAnsi="Noto Sans Mono CJK JP Regular" w:eastAsia="华文细黑" w:cs="Noto Sans Mono CJK JP Regular"/>
          <w:kern w:val="0"/>
          <w:sz w:val="24"/>
          <w:szCs w:val="22"/>
        </w:rPr>
        <w:t>进行数字化专网</w:t>
      </w:r>
      <w:bookmarkStart w:id="6" w:name="OLE_LINK16"/>
      <w:r>
        <w:rPr>
          <w:rFonts w:ascii="Noto Sans Mono CJK JP Regular" w:hAnsi="Noto Sans Mono CJK JP Regular" w:eastAsia="华文细黑" w:cs="Noto Sans Mono CJK JP Regular"/>
          <w:kern w:val="0"/>
          <w:sz w:val="24"/>
          <w:szCs w:val="22"/>
        </w:rPr>
        <w:t>参数精细化配置与优化</w:t>
      </w:r>
      <w:bookmarkEnd w:id="6"/>
      <w:r>
        <w:rPr>
          <w:rFonts w:ascii="Noto Sans Mono CJK JP Regular" w:hAnsi="Noto Sans Mono CJK JP Regular" w:eastAsia="华文细黑" w:cs="Noto Sans Mono CJK JP Regular"/>
          <w:kern w:val="0"/>
          <w:sz w:val="24"/>
          <w:szCs w:val="22"/>
        </w:rPr>
        <w:t>；</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4</w:t>
      </w:r>
      <w:r>
        <w:rPr>
          <w:rFonts w:ascii="Noto Sans Mono CJK JP Regular" w:hAnsi="Noto Sans Mono CJK JP Regular" w:eastAsia="华文细黑" w:cs="Noto Sans Mono CJK JP Regular"/>
          <w:kern w:val="0"/>
          <w:sz w:val="24"/>
          <w:szCs w:val="22"/>
        </w:rPr>
        <w:t>）依据行业标准与任务书要求，进行项目</w:t>
      </w:r>
      <w:bookmarkStart w:id="7" w:name="OLE_LINK17"/>
      <w:r>
        <w:rPr>
          <w:rFonts w:ascii="Noto Sans Mono CJK JP Regular" w:hAnsi="Noto Sans Mono CJK JP Regular" w:eastAsia="华文细黑" w:cs="Noto Sans Mono CJK JP Regular"/>
          <w:kern w:val="0"/>
          <w:sz w:val="24"/>
          <w:szCs w:val="22"/>
        </w:rPr>
        <w:t>验收测试与文档编写</w:t>
      </w:r>
      <w:bookmarkEnd w:id="7"/>
      <w:r>
        <w:rPr>
          <w:rFonts w:ascii="Noto Sans Mono CJK JP Regular" w:hAnsi="Noto Sans Mono CJK JP Regular" w:eastAsia="华文细黑" w:cs="Noto Sans Mono CJK JP Regular"/>
          <w:kern w:val="0"/>
          <w:sz w:val="24"/>
          <w:szCs w:val="22"/>
        </w:rPr>
        <w:t>，确保数字化专网功能与安全性符合交付标准；</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bookmarkStart w:id="8" w:name="OLE_LINK6"/>
      <w:r>
        <w:rPr>
          <w:rFonts w:hint="eastAsia" w:ascii="Noto Sans Mono CJK JP Regular" w:hAnsi="Noto Sans Mono CJK JP Regular" w:eastAsia="华文细黑" w:cs="Noto Sans Mono CJK JP Regular"/>
          <w:kern w:val="0"/>
          <w:sz w:val="24"/>
          <w:szCs w:val="22"/>
        </w:rPr>
        <w:t>5）操作过程要求按照操作规程、安全文明生产进行。</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（2）模块二 数字化解决方案设计与呈现</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根据竞赛组委会提供的竞赛平台和有关资料及操作技能要求，参赛的选手完成下列工作任务：</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1）按照任务书的场景需求，进行需求管理，包括行业分析、需求调研、需求分析与文件编制、产品选型、技术咨询服务等。</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bookmarkStart w:id="9" w:name="OLE_LINK10"/>
      <w:r>
        <w:rPr>
          <w:rFonts w:ascii="Noto Sans Mono CJK JP Regular" w:hAnsi="Noto Sans Mono CJK JP Regular" w:eastAsia="华文细黑" w:cs="Noto Sans Mono CJK JP Regular"/>
          <w:kern w:val="0"/>
          <w:sz w:val="24"/>
          <w:szCs w:val="22"/>
        </w:rPr>
        <w:t>2</w:t>
      </w:r>
      <w:r>
        <w:rPr>
          <w:rFonts w:hint="eastAsia" w:ascii="Noto Sans Mono CJK JP Regular" w:hAnsi="Noto Sans Mono CJK JP Regular" w:eastAsia="华文细黑" w:cs="Noto Sans Mono CJK JP Regular"/>
          <w:kern w:val="0"/>
          <w:sz w:val="24"/>
          <w:szCs w:val="22"/>
        </w:rPr>
        <w:t>）</w:t>
      </w:r>
      <w:bookmarkEnd w:id="9"/>
      <w:r>
        <w:rPr>
          <w:rFonts w:hint="eastAsia" w:ascii="Noto Sans Mono CJK JP Regular" w:hAnsi="Noto Sans Mono CJK JP Regular" w:eastAsia="华文细黑" w:cs="Noto Sans Mono CJK JP Regular"/>
          <w:kern w:val="0"/>
          <w:sz w:val="24"/>
          <w:szCs w:val="22"/>
        </w:rPr>
        <w:t>按照任务书要求，进行数字化应用或技术方案设计；</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3</w:t>
      </w:r>
      <w:r>
        <w:rPr>
          <w:rFonts w:hint="eastAsia" w:ascii="Noto Sans Mono CJK JP Regular" w:hAnsi="Noto Sans Mono CJK JP Regular" w:eastAsia="华文细黑" w:cs="Noto Sans Mono CJK JP Regular"/>
          <w:kern w:val="0"/>
          <w:sz w:val="24"/>
          <w:szCs w:val="22"/>
        </w:rPr>
        <w:t>）</w:t>
      </w:r>
      <w:bookmarkStart w:id="10" w:name="OLE_LINK9"/>
      <w:r>
        <w:rPr>
          <w:rFonts w:hint="eastAsia" w:ascii="Noto Sans Mono CJK JP Regular" w:hAnsi="Noto Sans Mono CJK JP Regular" w:eastAsia="华文细黑" w:cs="Noto Sans Mono CJK JP Regular"/>
          <w:kern w:val="0"/>
          <w:sz w:val="24"/>
          <w:szCs w:val="22"/>
        </w:rPr>
        <w:t>按照任务书要求，</w:t>
      </w:r>
      <w:bookmarkEnd w:id="10"/>
      <w:r>
        <w:rPr>
          <w:rFonts w:hint="eastAsia" w:ascii="Noto Sans Mono CJK JP Regular" w:hAnsi="Noto Sans Mono CJK JP Regular" w:eastAsia="华文细黑" w:cs="Noto Sans Mono CJK JP Regular"/>
          <w:kern w:val="0"/>
          <w:sz w:val="24"/>
          <w:szCs w:val="22"/>
        </w:rPr>
        <w:t>完成设备的数字化转型模块搭建；</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4</w:t>
      </w:r>
      <w:r>
        <w:rPr>
          <w:rFonts w:hint="eastAsia" w:ascii="Noto Sans Mono CJK JP Regular" w:hAnsi="Noto Sans Mono CJK JP Regular" w:eastAsia="华文细黑" w:cs="Noto Sans Mono CJK JP Regular"/>
          <w:kern w:val="0"/>
          <w:sz w:val="24"/>
          <w:szCs w:val="22"/>
        </w:rPr>
        <w:t>）按照任务书要求，进行参数设置；</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5</w:t>
      </w:r>
      <w:r>
        <w:rPr>
          <w:rFonts w:hint="eastAsia" w:ascii="Noto Sans Mono CJK JP Regular" w:hAnsi="Noto Sans Mono CJK JP Regular" w:eastAsia="华文细黑" w:cs="Noto Sans Mono CJK JP Regular"/>
          <w:kern w:val="0"/>
          <w:sz w:val="24"/>
          <w:szCs w:val="22"/>
        </w:rPr>
        <w:t>）按照任务书要求，完成数字化解决方案开发与实施，实现任务书要求的各项功能；</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bookmarkStart w:id="11" w:name="OLE_LINK8"/>
      <w:r>
        <w:rPr>
          <w:rFonts w:ascii="Noto Sans Mono CJK JP Regular" w:hAnsi="Noto Sans Mono CJK JP Regular" w:eastAsia="华文细黑" w:cs="Noto Sans Mono CJK JP Regular"/>
          <w:kern w:val="0"/>
          <w:sz w:val="24"/>
          <w:szCs w:val="22"/>
        </w:rPr>
        <w:t>6</w:t>
      </w:r>
      <w:r>
        <w:rPr>
          <w:rFonts w:hint="eastAsia" w:ascii="Noto Sans Mono CJK JP Regular" w:hAnsi="Noto Sans Mono CJK JP Regular" w:eastAsia="华文细黑" w:cs="Noto Sans Mono CJK JP Regular"/>
          <w:kern w:val="0"/>
          <w:sz w:val="24"/>
          <w:szCs w:val="22"/>
        </w:rPr>
        <w:t>）操作过程要求按照操作规程、安全文明生产进行。</w:t>
      </w:r>
    </w:p>
    <w:bookmarkEnd w:id="8"/>
    <w:bookmarkEnd w:id="11"/>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2.竞赛方式</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采用现场实际操作方式。</w:t>
      </w:r>
    </w:p>
    <w:p>
      <w:pPr>
        <w:spacing w:before="156" w:beforeLines="50" w:after="156" w:afterLines="50" w:line="360" w:lineRule="auto"/>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五、评判标准</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（一）评判标准的制订原则</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参照《数字化解决方案设计师国家职业标准》高级(国家职业资格三级)的相关标准、规范要求进行评判，全面评价参赛选手的职业能力，本着科学严谨、公正公平、可操作性强的原则制定评判标准。</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（二）实际操做比赛评判细则（评判指标）</w:t>
      </w:r>
    </w:p>
    <w:p>
      <w:pPr>
        <w:snapToGrid w:val="0"/>
        <w:spacing w:before="62" w:beforeLines="20" w:line="360" w:lineRule="auto"/>
        <w:ind w:firstLine="480" w:firstLineChars="200"/>
        <w:rPr>
          <w:rFonts w:hint="eastAsia" w:ascii="仿宋" w:hAnsi="仿宋" w:eastAsia="仿宋"/>
          <w:sz w:val="24"/>
          <w:lang w:val="zh-CN"/>
        </w:rPr>
      </w:pPr>
      <w:r>
        <w:rPr>
          <w:rFonts w:hint="eastAsia" w:ascii="Noto Sans Mono CJK JP Regular" w:hAnsi="Noto Sans Mono CJK JP Regular" w:eastAsia="华文细黑" w:cs="Noto Sans Mono CJK JP Regular"/>
          <w:kern w:val="0"/>
          <w:sz w:val="24"/>
          <w:szCs w:val="22"/>
          <w:lang w:val="zh-CN"/>
        </w:rPr>
        <w:t>评判比例如表1所示。</w:t>
      </w:r>
    </w:p>
    <w:p>
      <w:pPr>
        <w:spacing w:line="360" w:lineRule="auto"/>
        <w:jc w:val="center"/>
        <w:rPr>
          <w:rFonts w:ascii="Calibri" w:hAnsi="Calibri" w:eastAsia="华文细黑"/>
          <w:sz w:val="24"/>
          <w:lang w:val="zh-CN"/>
        </w:rPr>
      </w:pPr>
      <w:r>
        <w:rPr>
          <w:rFonts w:hint="eastAsia" w:ascii="Calibri" w:hAnsi="Calibri" w:eastAsia="华文细黑"/>
          <w:sz w:val="24"/>
          <w:lang w:val="zh-CN"/>
        </w:rPr>
        <w:t>表1.  评判指标</w:t>
      </w:r>
    </w:p>
    <w:tbl>
      <w:tblPr>
        <w:tblStyle w:val="12"/>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276"/>
        <w:gridCol w:w="3933"/>
        <w:gridCol w:w="1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2263" w:type="dxa"/>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一级指标</w:t>
            </w:r>
          </w:p>
        </w:tc>
        <w:tc>
          <w:tcPr>
            <w:tcW w:w="1276" w:type="dxa"/>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比例</w:t>
            </w:r>
          </w:p>
        </w:tc>
        <w:tc>
          <w:tcPr>
            <w:tcW w:w="3933" w:type="dxa"/>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二级指标</w:t>
            </w:r>
          </w:p>
        </w:tc>
        <w:tc>
          <w:tcPr>
            <w:tcW w:w="1033" w:type="dxa"/>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2263" w:type="dxa"/>
            <w:vMerge w:val="restar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模块一</w:t>
            </w:r>
          </w:p>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数字化专网规划部署与行业应用</w:t>
            </w:r>
          </w:p>
        </w:tc>
        <w:tc>
          <w:tcPr>
            <w:tcW w:w="1276" w:type="dxa"/>
            <w:vMerge w:val="restar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30%</w:t>
            </w:r>
          </w:p>
        </w:tc>
        <w:tc>
          <w:tcPr>
            <w:tcW w:w="39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场景建模与需求分析</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ascii="Noto Sans Mono CJK JP Regular" w:hAnsi="Noto Sans Mono CJK JP Regular" w:eastAsia="华文细黑" w:cs="Noto Sans Mono CJK JP Regular"/>
                <w:kern w:val="0"/>
                <w:szCs w:val="21"/>
                <w:lang w:val="zh-CN"/>
              </w:rPr>
              <w:t>规划设计</w:t>
            </w:r>
            <w:r>
              <w:rPr>
                <w:rFonts w:hint="eastAsia" w:ascii="Noto Sans Mono CJK JP Regular" w:hAnsi="Noto Sans Mono CJK JP Regular" w:eastAsia="华文细黑" w:cs="Noto Sans Mono CJK JP Regular"/>
                <w:kern w:val="0"/>
                <w:szCs w:val="21"/>
                <w:lang w:val="zh-CN"/>
              </w:rPr>
              <w:t>与网络部署</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ascii="Noto Sans Mono CJK JP Regular" w:hAnsi="Noto Sans Mono CJK JP Regular" w:eastAsia="华文细黑" w:cs="Noto Sans Mono CJK JP Regular"/>
                <w:kern w:val="0"/>
                <w:szCs w:val="21"/>
                <w:lang w:val="zh-CN"/>
              </w:rPr>
              <w:t>参数精细化配置与优化</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ascii="Noto Sans Mono CJK JP Regular" w:hAnsi="Noto Sans Mono CJK JP Regular" w:eastAsia="华文细黑" w:cs="Noto Sans Mono CJK JP Regular"/>
                <w:kern w:val="0"/>
                <w:szCs w:val="21"/>
                <w:lang w:val="zh-CN"/>
              </w:rPr>
              <w:t>验收测试与文档编写</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bookmarkStart w:id="12" w:name="OLE_LINK20"/>
            <w:r>
              <w:rPr>
                <w:rFonts w:hint="eastAsia" w:ascii="Noto Sans Mono CJK JP Regular" w:hAnsi="Noto Sans Mono CJK JP Regular" w:eastAsia="华文细黑" w:cs="Noto Sans Mono CJK JP Regular"/>
                <w:kern w:val="0"/>
                <w:szCs w:val="21"/>
                <w:lang w:val="zh-CN"/>
              </w:rPr>
              <w:t>5%</w:t>
            </w:r>
            <w:bookmark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2263" w:type="dxa"/>
            <w:vMerge w:val="restart"/>
            <w:vAlign w:val="center"/>
          </w:tcPr>
          <w:p>
            <w:pPr>
              <w:pStyle w:val="4"/>
              <w:rPr>
                <w:rFonts w:hint="eastAsia" w:ascii="Noto Sans Mono CJK JP Regular" w:hAnsi="Noto Sans Mono CJK JP Regular" w:eastAsia="华文细黑" w:cs="Noto Sans Mono CJK JP Regular"/>
                <w:kern w:val="0"/>
                <w:szCs w:val="21"/>
                <w:lang w:val="zh-CN"/>
              </w:rPr>
            </w:pPr>
            <w:bookmarkStart w:id="13" w:name="OLE_LINK13"/>
            <w:r>
              <w:rPr>
                <w:rFonts w:hint="eastAsia" w:ascii="Noto Sans Mono CJK JP Regular" w:hAnsi="Noto Sans Mono CJK JP Regular" w:eastAsia="华文细黑" w:cs="Noto Sans Mono CJK JP Regular"/>
                <w:kern w:val="0"/>
                <w:szCs w:val="21"/>
                <w:lang w:val="zh-CN"/>
              </w:rPr>
              <w:t>模块二</w:t>
            </w:r>
          </w:p>
          <w:bookmarkEnd w:id="13"/>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数字化解决方案设计与呈现</w:t>
            </w:r>
          </w:p>
        </w:tc>
        <w:tc>
          <w:tcPr>
            <w:tcW w:w="1276" w:type="dxa"/>
            <w:vMerge w:val="restart"/>
            <w:vAlign w:val="center"/>
          </w:tcPr>
          <w:p>
            <w:pPr>
              <w:pStyle w:val="4"/>
              <w:rPr>
                <w:rFonts w:hint="eastAsia" w:ascii="Noto Sans Mono CJK JP Regular" w:hAnsi="Noto Sans Mono CJK JP Regular" w:eastAsia="华文细黑" w:cs="Noto Sans Mono CJK JP Regular"/>
                <w:kern w:val="0"/>
                <w:szCs w:val="21"/>
                <w:lang w:val="zh-CN"/>
              </w:rPr>
            </w:pPr>
            <w:bookmarkStart w:id="14" w:name="OLE_LINK12"/>
            <w:r>
              <w:rPr>
                <w:rFonts w:hint="eastAsia" w:ascii="Noto Sans Mono CJK JP Regular" w:hAnsi="Noto Sans Mono CJK JP Regular" w:eastAsia="华文细黑" w:cs="Noto Sans Mono CJK JP Regular"/>
                <w:kern w:val="0"/>
                <w:szCs w:val="21"/>
                <w:lang w:val="zh-CN"/>
              </w:rPr>
              <w:t>70%</w:t>
            </w:r>
            <w:bookmarkEnd w:id="14"/>
          </w:p>
        </w:tc>
        <w:tc>
          <w:tcPr>
            <w:tcW w:w="39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数字化需求管理</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解决方案设计</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bookmarkStart w:id="15" w:name="OLE_LINK18"/>
            <w:r>
              <w:rPr>
                <w:rFonts w:hint="eastAsia" w:ascii="Noto Sans Mono CJK JP Regular" w:hAnsi="Noto Sans Mono CJK JP Regular" w:eastAsia="华文细黑" w:cs="Noto Sans Mono CJK JP Regular"/>
                <w:kern w:val="0"/>
                <w:szCs w:val="21"/>
                <w:lang w:val="zh-CN"/>
              </w:rPr>
              <w:t>10%</w:t>
            </w:r>
            <w:bookmarkEnd w:id="1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硬件设备搭建与职业素养</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参数设置</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263"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1276" w:type="dxa"/>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39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数字化解决方案开发与实施</w:t>
            </w:r>
          </w:p>
        </w:tc>
        <w:tc>
          <w:tcPr>
            <w:tcW w:w="103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263"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总分</w:t>
            </w:r>
          </w:p>
        </w:tc>
        <w:tc>
          <w:tcPr>
            <w:tcW w:w="6242" w:type="dxa"/>
            <w:gridSpan w:val="3"/>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100%</w:t>
            </w:r>
          </w:p>
        </w:tc>
      </w:tr>
    </w:tbl>
    <w:p>
      <w:pPr>
        <w:spacing w:before="62" w:beforeLines="20" w:after="156" w:afterLines="50" w:line="360" w:lineRule="auto"/>
        <w:rPr>
          <w:rFonts w:hint="eastAsia" w:ascii="仿宋" w:hAnsi="仿宋" w:eastAsia="仿宋"/>
          <w:szCs w:val="21"/>
          <w:lang w:val="zh-CN"/>
        </w:rPr>
      </w:pPr>
      <w:r>
        <w:rPr>
          <w:rFonts w:hint="eastAsia" w:ascii="Noto Sans Mono CJK JP Regular" w:hAnsi="Noto Sans Mono CJK JP Regular" w:eastAsia="华文细黑" w:cs="Noto Sans Mono CJK JP Regular"/>
          <w:kern w:val="0"/>
          <w:szCs w:val="21"/>
          <w:lang w:val="zh-CN"/>
        </w:rPr>
        <w:t>注： 实际竞赛过程中各指标所占比例可能有所微调。</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（三）评判方法</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 评判原则</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评判采取客观评判为主的方式，针对操作过程中在各个关键点所应呈现的技术指标、系统状态或实现的功能是否符合工作任务书的设计要求，列出各评判项、评判标准和测试方法以及技术指标进行评判。评分表根据比赛试题制定。</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2. 比赛流程</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选手需要依据竞赛流转表完成全部两个模块的比赛。选手完成每一个模块的操作后，等待裁判员评分结束，代表本模块比赛完成。</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3. 评分流程（评判示例，以任务书为准）</w:t>
      </w:r>
    </w:p>
    <w:p>
      <w:pPr>
        <w:snapToGrid w:val="0"/>
        <w:spacing w:before="62" w:beforeLines="20" w:line="360" w:lineRule="auto"/>
        <w:jc w:val="center"/>
        <w:rPr>
          <w:rFonts w:hint="eastAsia" w:ascii="仿宋" w:hAnsi="仿宋" w:eastAsia="仿宋"/>
          <w:sz w:val="24"/>
          <w:lang w:val="zh-CN"/>
        </w:rPr>
      </w:pPr>
      <w:bookmarkStart w:id="16" w:name="OLE_LINK2"/>
      <w:r>
        <w:drawing>
          <wp:inline distT="0" distB="0" distL="0" distR="0">
            <wp:extent cx="3403600" cy="308991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3404672" cy="3090911"/>
                    </a:xfrm>
                    <a:prstGeom prst="rect">
                      <a:avLst/>
                    </a:prstGeom>
                  </pic:spPr>
                </pic:pic>
              </a:graphicData>
            </a:graphic>
          </wp:inline>
        </w:drawing>
      </w:r>
    </w:p>
    <w:bookmarkEnd w:id="16"/>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4. 测量及评价方法</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对照评判标准，由若干裁判员根据选手完成工作情况，参照评分项，对选手</w:t>
      </w:r>
    </w:p>
    <w:p>
      <w:pPr>
        <w:spacing w:line="360" w:lineRule="auto"/>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工作任务完成情况进行集体评测，给出每位被评选手的具体成绩。</w:t>
      </w:r>
    </w:p>
    <w:p>
      <w:pPr>
        <w:tabs>
          <w:tab w:val="left" w:pos="3240"/>
        </w:tabs>
        <w:spacing w:line="360" w:lineRule="auto"/>
        <w:ind w:firstLine="480" w:firstLineChars="200"/>
        <w:rPr>
          <w:rFonts w:ascii="Calibri" w:hAnsi="Calibri" w:eastAsia="华文细黑"/>
          <w:b/>
          <w:bCs/>
          <w:sz w:val="24"/>
        </w:rPr>
      </w:pPr>
      <w:r>
        <w:rPr>
          <w:rFonts w:hint="eastAsia" w:ascii="Calibri" w:hAnsi="Calibri" w:eastAsia="华文细黑"/>
          <w:b/>
          <w:bCs/>
          <w:sz w:val="24"/>
        </w:rPr>
        <w:t>（四）竞赛规范以及异常处理方法</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bookmarkStart w:id="17" w:name="OLE_LINK24"/>
      <w:bookmarkStart w:id="18" w:name="OLE_LINK26"/>
      <w:r>
        <w:rPr>
          <w:rFonts w:hint="eastAsia" w:ascii="Noto Sans Mono CJK JP Regular" w:hAnsi="Noto Sans Mono CJK JP Regular" w:eastAsia="华文细黑" w:cs="Noto Sans Mono CJK JP Regular"/>
          <w:kern w:val="0"/>
          <w:sz w:val="24"/>
          <w:szCs w:val="22"/>
          <w:lang w:val="zh-CN"/>
        </w:rPr>
        <w:t>1．</w:t>
      </w:r>
      <w:bookmarkEnd w:id="17"/>
      <w:r>
        <w:rPr>
          <w:rFonts w:hint="eastAsia" w:ascii="Noto Sans Mono CJK JP Regular" w:hAnsi="Noto Sans Mono CJK JP Regular" w:eastAsia="华文细黑" w:cs="Noto Sans Mono CJK JP Regular"/>
          <w:kern w:val="0"/>
          <w:sz w:val="24"/>
          <w:szCs w:val="22"/>
          <w:lang w:val="zh-CN"/>
        </w:rPr>
        <w:t>比赛结束铃声响起以后，选手应立即停止工作，经过提示或警告仍不改正者，将取消该选手的本模块竞赛成绩，禁止该选手继续比赛</w:t>
      </w:r>
      <w:bookmarkStart w:id="19" w:name="OLE_LINK25"/>
      <w:r>
        <w:rPr>
          <w:rFonts w:hint="eastAsia" w:ascii="Noto Sans Mono CJK JP Regular" w:hAnsi="Noto Sans Mono CJK JP Regular" w:eastAsia="华文细黑" w:cs="Noto Sans Mono CJK JP Regular"/>
          <w:kern w:val="0"/>
          <w:sz w:val="24"/>
          <w:szCs w:val="22"/>
          <w:lang w:val="zh-CN"/>
        </w:rPr>
        <w:t>。</w:t>
      </w:r>
      <w:bookmarkEnd w:id="19"/>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2．选手禁止携带U盘等存储工具，以及穿戴智能穿戴设备等。</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3．当天比赛任务及评分完成，裁判长宣布当天比赛结束后选手可以离开赛场。</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4．在竞赛过程中如发现问题（设备故障等），选手应立即向计时裁判反映。得到同意后，选手退出到工作区外等候，等待故障处理完后方可继续比赛。如属于设备故障，补时时间为从选手示意到 故障处理结束这段时间。若不属于设备问题，则不补时。</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5． 由于计算机蓝屏、死机或整个工作区掉电造成的时间损失，将对选手进行补时，但是无论任何原因造成的选手程序或软件成果丢失和损坏，后果由选手自行承担。</w:t>
      </w:r>
    </w:p>
    <w:bookmarkEnd w:id="18"/>
    <w:p>
      <w:pPr>
        <w:spacing w:before="156" w:beforeLines="50" w:after="156" w:afterLines="50" w:line="360" w:lineRule="auto"/>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六、实际操作竞赛场地与设施</w:t>
      </w:r>
    </w:p>
    <w:p>
      <w:pPr>
        <w:tabs>
          <w:tab w:val="left" w:pos="3240"/>
        </w:tabs>
        <w:spacing w:line="360" w:lineRule="auto"/>
        <w:ind w:firstLine="480" w:firstLineChars="200"/>
        <w:rPr>
          <w:rFonts w:ascii="Calibri" w:hAnsi="Calibri" w:eastAsia="华文细黑"/>
          <w:b/>
          <w:bCs/>
          <w:sz w:val="24"/>
        </w:rPr>
      </w:pPr>
      <w:r>
        <w:rPr>
          <w:rFonts w:hint="eastAsia" w:ascii="Calibri" w:hAnsi="Calibri" w:eastAsia="华文细黑"/>
          <w:b/>
          <w:bCs/>
          <w:sz w:val="24"/>
        </w:rPr>
        <w:t>（一）竞赛场地</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 竞赛工位</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单人单工位操作，操作竞赛模块一每人4平方米（2米×2米），操作竞赛模块二每人14平方米（3.5米×4米），最终以竞赛现场为准。</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2. 赛场设施</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竞赛赛场提供竞赛所需的操作台、椅子、编程计算机等设施，选手不得携带编程计算机进入竞赛区域。</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3. 竞赛设备及技术参数见表2。</w:t>
      </w:r>
    </w:p>
    <w:p>
      <w:pPr>
        <w:spacing w:line="360" w:lineRule="auto"/>
        <w:jc w:val="center"/>
        <w:rPr>
          <w:rFonts w:ascii="Calibri" w:hAnsi="Calibri" w:eastAsia="华文细黑"/>
          <w:sz w:val="24"/>
          <w:lang w:val="zh-CN"/>
        </w:rPr>
      </w:pPr>
      <w:bookmarkStart w:id="20" w:name="OLE_LINK27"/>
      <w:r>
        <w:rPr>
          <w:rFonts w:hint="eastAsia" w:ascii="Calibri" w:hAnsi="Calibri" w:eastAsia="华文细黑"/>
          <w:sz w:val="24"/>
          <w:lang w:val="zh-CN"/>
        </w:rPr>
        <w:t xml:space="preserve">表2.  </w:t>
      </w:r>
      <w:r>
        <w:rPr>
          <w:rFonts w:hint="eastAsia" w:ascii="Noto Sans Mono CJK JP Regular" w:hAnsi="Noto Sans Mono CJK JP Regular" w:eastAsia="华文细黑" w:cs="Noto Sans Mono CJK JP Regular"/>
          <w:kern w:val="0"/>
          <w:sz w:val="24"/>
          <w:szCs w:val="22"/>
          <w:lang w:val="zh-CN"/>
        </w:rPr>
        <w:t>竞赛设备及技术参数</w:t>
      </w:r>
    </w:p>
    <w:tbl>
      <w:tblPr>
        <w:tblStyle w:val="12"/>
        <w:tblW w:w="8359" w:type="dxa"/>
        <w:tblInd w:w="0" w:type="dxa"/>
        <w:tblLayout w:type="autofit"/>
        <w:tblCellMar>
          <w:top w:w="0" w:type="dxa"/>
          <w:left w:w="108" w:type="dxa"/>
          <w:bottom w:w="0" w:type="dxa"/>
          <w:right w:w="108" w:type="dxa"/>
        </w:tblCellMar>
      </w:tblPr>
      <w:tblGrid>
        <w:gridCol w:w="704"/>
        <w:gridCol w:w="2156"/>
        <w:gridCol w:w="3320"/>
        <w:gridCol w:w="1045"/>
        <w:gridCol w:w="1134"/>
      </w:tblGrid>
      <w:tr>
        <w:tblPrEx>
          <w:tblCellMar>
            <w:top w:w="0" w:type="dxa"/>
            <w:left w:w="108" w:type="dxa"/>
            <w:bottom w:w="0" w:type="dxa"/>
            <w:right w:w="108" w:type="dxa"/>
          </w:tblCellMar>
        </w:tblPrEx>
        <w:trPr>
          <w:trHeight w:val="380" w:hRule="atLeast"/>
        </w:trPr>
        <w:tc>
          <w:tcPr>
            <w:tcW w:w="8359" w:type="dxa"/>
            <w:gridSpan w:val="5"/>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bookmarkStart w:id="21" w:name="OLE_LINK7"/>
            <w:r>
              <w:rPr>
                <w:rFonts w:hint="eastAsia" w:ascii="等线" w:hAnsi="等线" w:eastAsia="等线" w:cs="宋体"/>
                <w:color w:val="000000"/>
                <w:kern w:val="0"/>
                <w:sz w:val="22"/>
                <w:szCs w:val="22"/>
              </w:rPr>
              <w:t>模块一  竞赛设备和软件清单</w:t>
            </w:r>
            <w:bookmarkEnd w:id="21"/>
          </w:p>
        </w:tc>
      </w:tr>
      <w:tr>
        <w:tblPrEx>
          <w:tblCellMar>
            <w:top w:w="0" w:type="dxa"/>
            <w:left w:w="108" w:type="dxa"/>
            <w:bottom w:w="0" w:type="dxa"/>
            <w:right w:w="108" w:type="dxa"/>
          </w:tblCellMar>
        </w:tblPrEx>
        <w:trPr>
          <w:trHeight w:val="380" w:hRule="atLeast"/>
        </w:trPr>
        <w:tc>
          <w:tcPr>
            <w:tcW w:w="70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序号</w:t>
            </w:r>
          </w:p>
        </w:tc>
        <w:tc>
          <w:tcPr>
            <w:tcW w:w="2156"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名称</w:t>
            </w:r>
          </w:p>
        </w:tc>
        <w:tc>
          <w:tcPr>
            <w:tcW w:w="3320"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规格/型号</w:t>
            </w:r>
          </w:p>
        </w:tc>
        <w:tc>
          <w:tcPr>
            <w:tcW w:w="1045"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单位</w:t>
            </w:r>
          </w:p>
        </w:tc>
        <w:tc>
          <w:tcPr>
            <w:tcW w:w="1134"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数量</w:t>
            </w:r>
          </w:p>
        </w:tc>
      </w:tr>
      <w:tr>
        <w:tblPrEx>
          <w:tblCellMar>
            <w:top w:w="0" w:type="dxa"/>
            <w:left w:w="108" w:type="dxa"/>
            <w:bottom w:w="0" w:type="dxa"/>
            <w:right w:w="108" w:type="dxa"/>
          </w:tblCellMar>
        </w:tblPrEx>
        <w:trPr>
          <w:trHeight w:val="380" w:hRule="atLeast"/>
        </w:trPr>
        <w:tc>
          <w:tcPr>
            <w:tcW w:w="70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bookmarkStart w:id="22" w:name="_Hlk229753232"/>
            <w:r>
              <w:rPr>
                <w:rFonts w:hint="eastAsia" w:ascii="等线" w:hAnsi="等线" w:eastAsia="等线" w:cs="宋体"/>
                <w:color w:val="000000"/>
                <w:kern w:val="0"/>
                <w:sz w:val="22"/>
                <w:szCs w:val="22"/>
              </w:rPr>
              <w:t>1</w:t>
            </w:r>
          </w:p>
        </w:tc>
        <w:tc>
          <w:tcPr>
            <w:tcW w:w="2156"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计算机</w:t>
            </w:r>
          </w:p>
        </w:tc>
        <w:tc>
          <w:tcPr>
            <w:tcW w:w="3320"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含显示器，键鼠套装</w:t>
            </w:r>
          </w:p>
        </w:tc>
        <w:tc>
          <w:tcPr>
            <w:tcW w:w="1045"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380" w:hRule="atLeast"/>
        </w:trPr>
        <w:tc>
          <w:tcPr>
            <w:tcW w:w="70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2</w:t>
            </w:r>
          </w:p>
        </w:tc>
        <w:tc>
          <w:tcPr>
            <w:tcW w:w="2156"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编程软件：5G智能制造专网实训平台</w:t>
            </w:r>
          </w:p>
        </w:tc>
        <w:tc>
          <w:tcPr>
            <w:tcW w:w="3320"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ascii="等线" w:hAnsi="等线" w:eastAsia="等线" w:cs="宋体"/>
                <w:color w:val="000000"/>
                <w:kern w:val="0"/>
                <w:sz w:val="22"/>
                <w:szCs w:val="22"/>
              </w:rPr>
              <w:t>V2.0.5</w:t>
            </w:r>
          </w:p>
        </w:tc>
        <w:tc>
          <w:tcPr>
            <w:tcW w:w="1045"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bookmarkEnd w:id="22"/>
      <w:tr>
        <w:tblPrEx>
          <w:tblCellMar>
            <w:top w:w="0" w:type="dxa"/>
            <w:left w:w="108" w:type="dxa"/>
            <w:bottom w:w="0" w:type="dxa"/>
            <w:right w:w="108" w:type="dxa"/>
          </w:tblCellMar>
        </w:tblPrEx>
        <w:trPr>
          <w:trHeight w:val="380" w:hRule="atLeast"/>
        </w:trPr>
        <w:tc>
          <w:tcPr>
            <w:tcW w:w="8359" w:type="dxa"/>
            <w:gridSpan w:val="5"/>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模块二  竞赛设备和软件清单</w:t>
            </w:r>
          </w:p>
        </w:tc>
      </w:tr>
      <w:tr>
        <w:tblPrEx>
          <w:tblCellMar>
            <w:top w:w="0" w:type="dxa"/>
            <w:left w:w="108" w:type="dxa"/>
            <w:bottom w:w="0" w:type="dxa"/>
            <w:right w:w="108" w:type="dxa"/>
          </w:tblCellMar>
        </w:tblPrEx>
        <w:trPr>
          <w:trHeight w:val="380" w:hRule="atLeast"/>
        </w:trPr>
        <w:tc>
          <w:tcPr>
            <w:tcW w:w="70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序号</w:t>
            </w:r>
          </w:p>
        </w:tc>
        <w:tc>
          <w:tcPr>
            <w:tcW w:w="2156"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名称</w:t>
            </w:r>
          </w:p>
        </w:tc>
        <w:tc>
          <w:tcPr>
            <w:tcW w:w="3320"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规格/型号</w:t>
            </w:r>
          </w:p>
        </w:tc>
        <w:tc>
          <w:tcPr>
            <w:tcW w:w="1045"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单位</w:t>
            </w:r>
          </w:p>
        </w:tc>
        <w:tc>
          <w:tcPr>
            <w:tcW w:w="1134"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数量</w:t>
            </w:r>
          </w:p>
        </w:tc>
      </w:tr>
      <w:tr>
        <w:tblPrEx>
          <w:tblCellMar>
            <w:top w:w="0" w:type="dxa"/>
            <w:left w:w="108" w:type="dxa"/>
            <w:bottom w:w="0" w:type="dxa"/>
            <w:right w:w="108" w:type="dxa"/>
          </w:tblCellMar>
        </w:tblPrEx>
        <w:trPr>
          <w:trHeight w:val="4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飞腾派处理器</w:t>
            </w:r>
          </w:p>
        </w:tc>
        <w:tc>
          <w:tcPr>
            <w:tcW w:w="3320"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飞腾腾珑系列 E2000Q</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2</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ascii="等线" w:hAnsi="等线" w:eastAsia="等线" w:cs="宋体"/>
                <w:color w:val="000000"/>
                <w:kern w:val="0"/>
                <w:sz w:val="22"/>
                <w:szCs w:val="22"/>
              </w:rPr>
              <w:t>仿人构型机械臂</w:t>
            </w:r>
          </w:p>
        </w:tc>
        <w:tc>
          <w:tcPr>
            <w:tcW w:w="3320"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ascii="等线" w:hAnsi="等线" w:eastAsia="等线" w:cs="宋体"/>
                <w:color w:val="000000"/>
                <w:kern w:val="0"/>
                <w:sz w:val="22"/>
                <w:szCs w:val="22"/>
              </w:rPr>
              <w:t>6 自由度</w:t>
            </w:r>
            <w:r>
              <w:rPr>
                <w:rFonts w:hint="eastAsia" w:ascii="等线" w:hAnsi="等线" w:eastAsia="等线" w:cs="宋体"/>
                <w:color w:val="000000"/>
                <w:kern w:val="0"/>
                <w:sz w:val="22"/>
                <w:szCs w:val="22"/>
              </w:rPr>
              <w:t>轻量化CTATC-RM65</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3</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彩色视觉单元</w:t>
            </w:r>
          </w:p>
        </w:tc>
        <w:tc>
          <w:tcPr>
            <w:tcW w:w="3320"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包括CTATC-HV彩色相机、镜头、光源等</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4</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仿生机械手</w:t>
            </w:r>
          </w:p>
        </w:tc>
        <w:tc>
          <w:tcPr>
            <w:tcW w:w="3320"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CTATC-FL</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5</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多功能串口服务器</w:t>
            </w:r>
          </w:p>
        </w:tc>
        <w:tc>
          <w:tcPr>
            <w:tcW w:w="3320"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ETH-MODBUS-IO8R-A</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6</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空气开关</w:t>
            </w:r>
          </w:p>
        </w:tc>
        <w:tc>
          <w:tcPr>
            <w:tcW w:w="3320"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C16</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7</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电源</w:t>
            </w:r>
          </w:p>
        </w:tc>
        <w:tc>
          <w:tcPr>
            <w:tcW w:w="3320"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NDR-120-24</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8</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串口服务器</w:t>
            </w:r>
          </w:p>
        </w:tc>
        <w:tc>
          <w:tcPr>
            <w:tcW w:w="3320"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USR-TCP232-410s</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9</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交换机</w:t>
            </w:r>
          </w:p>
        </w:tc>
        <w:tc>
          <w:tcPr>
            <w:tcW w:w="3320"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TL-SG2008</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10</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单相电能表</w:t>
            </w:r>
          </w:p>
        </w:tc>
        <w:tc>
          <w:tcPr>
            <w:tcW w:w="3320"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包括显示屏、按键、通信网口CTATC-DX等</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11</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远程IO模块</w:t>
            </w:r>
          </w:p>
        </w:tc>
        <w:tc>
          <w:tcPr>
            <w:tcW w:w="3320"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CTATC-ETH-IO-FUN-V1.1</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12</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智能接口模块</w:t>
            </w:r>
          </w:p>
        </w:tc>
        <w:tc>
          <w:tcPr>
            <w:tcW w:w="3320"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CTATC-XC-ZNJK-V1.0</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13</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服务器模块</w:t>
            </w:r>
          </w:p>
        </w:tc>
        <w:tc>
          <w:tcPr>
            <w:tcW w:w="3320" w:type="dxa"/>
            <w:tcBorders>
              <w:top w:val="nil"/>
              <w:left w:val="nil"/>
              <w:bottom w:val="single" w:color="auto" w:sz="4" w:space="0"/>
              <w:right w:val="single" w:color="auto" w:sz="4" w:space="0"/>
            </w:tcBorders>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ETH-MODBUS-IO5R</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84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14</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恒温箱</w:t>
            </w:r>
          </w:p>
        </w:tc>
        <w:tc>
          <w:tcPr>
            <w:tcW w:w="3320" w:type="dxa"/>
            <w:tcBorders>
              <w:top w:val="nil"/>
              <w:left w:val="nil"/>
              <w:bottom w:val="single" w:color="auto" w:sz="4" w:space="0"/>
              <w:right w:val="single" w:color="auto" w:sz="4" w:space="0"/>
            </w:tcBorders>
            <w:vAlign w:val="center"/>
          </w:tcPr>
          <w:p>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由玻璃温箱、接线端子、加热器、排风扇、固态继电器、温度传感器及变送器构成</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15</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辅助控制台</w:t>
            </w:r>
          </w:p>
        </w:tc>
        <w:tc>
          <w:tcPr>
            <w:tcW w:w="3320" w:type="dxa"/>
            <w:tcBorders>
              <w:top w:val="nil"/>
              <w:left w:val="nil"/>
              <w:bottom w:val="single" w:color="auto" w:sz="4" w:space="0"/>
              <w:right w:val="single" w:color="auto" w:sz="4" w:space="0"/>
            </w:tcBorders>
            <w:vAlign w:val="center"/>
          </w:tcPr>
          <w:p>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包括按钮、指示灯等</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5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16</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供料模块</w:t>
            </w:r>
          </w:p>
        </w:tc>
        <w:tc>
          <w:tcPr>
            <w:tcW w:w="3320" w:type="dxa"/>
            <w:tcBorders>
              <w:top w:val="nil"/>
              <w:left w:val="nil"/>
              <w:bottom w:val="single" w:color="auto" w:sz="4" w:space="0"/>
              <w:right w:val="single" w:color="auto" w:sz="4" w:space="0"/>
            </w:tcBorders>
            <w:vAlign w:val="center"/>
          </w:tcPr>
          <w:p>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包括供料井、检测传感器、限位传感器、气缸等</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112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17</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传送带模块</w:t>
            </w:r>
          </w:p>
        </w:tc>
        <w:tc>
          <w:tcPr>
            <w:tcW w:w="3320" w:type="dxa"/>
            <w:tcBorders>
              <w:top w:val="nil"/>
              <w:left w:val="nil"/>
              <w:bottom w:val="single" w:color="auto" w:sz="4" w:space="0"/>
              <w:right w:val="single" w:color="auto" w:sz="4" w:space="0"/>
            </w:tcBorders>
            <w:vAlign w:val="center"/>
          </w:tcPr>
          <w:p>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包括自动调心轴承、同步齿型带、1个旋转编码器及支架、1个颜色传感器及支架、1个电感传感器及支架、1个电容传感器及支架、铝型材、分拣气缸、斜槽等</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18</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立体库单元</w:t>
            </w:r>
          </w:p>
        </w:tc>
        <w:tc>
          <w:tcPr>
            <w:tcW w:w="3320" w:type="dxa"/>
            <w:tcBorders>
              <w:top w:val="nil"/>
              <w:left w:val="nil"/>
              <w:bottom w:val="single" w:color="auto" w:sz="4" w:space="0"/>
              <w:right w:val="single" w:color="auto" w:sz="4" w:space="0"/>
            </w:tcBorders>
            <w:vAlign w:val="center"/>
          </w:tcPr>
          <w:p>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15库位</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19</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显示器</w:t>
            </w:r>
          </w:p>
        </w:tc>
        <w:tc>
          <w:tcPr>
            <w:tcW w:w="3320" w:type="dxa"/>
            <w:tcBorders>
              <w:top w:val="nil"/>
              <w:left w:val="nil"/>
              <w:bottom w:val="single" w:color="auto" w:sz="4" w:space="0"/>
              <w:right w:val="single" w:color="auto" w:sz="4" w:space="0"/>
            </w:tcBorders>
            <w:vAlign w:val="center"/>
          </w:tcPr>
          <w:p>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包括显示器、支架等</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84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20</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物联感知模块</w:t>
            </w:r>
          </w:p>
        </w:tc>
        <w:tc>
          <w:tcPr>
            <w:tcW w:w="3320" w:type="dxa"/>
            <w:tcBorders>
              <w:top w:val="nil"/>
              <w:left w:val="nil"/>
              <w:bottom w:val="single" w:color="auto" w:sz="4" w:space="0"/>
              <w:right w:val="single" w:color="auto" w:sz="4" w:space="0"/>
            </w:tcBorders>
            <w:vAlign w:val="center"/>
          </w:tcPr>
          <w:p>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包括烟雾报警传感器、十合一传感器、、电扇、照明灯、三色报警灯等组成</w:t>
            </w: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21</w:t>
            </w:r>
          </w:p>
        </w:tc>
        <w:tc>
          <w:tcPr>
            <w:tcW w:w="2156"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物料</w:t>
            </w:r>
          </w:p>
        </w:tc>
        <w:tc>
          <w:tcPr>
            <w:tcW w:w="3320" w:type="dxa"/>
            <w:tcBorders>
              <w:top w:val="single" w:color="auto" w:sz="4" w:space="0"/>
              <w:left w:val="nil"/>
              <w:bottom w:val="single" w:color="auto" w:sz="4" w:space="0"/>
              <w:right w:val="single" w:color="auto" w:sz="4" w:space="0"/>
            </w:tcBorders>
            <w:noWrap/>
            <w:vAlign w:val="center"/>
          </w:tcPr>
          <w:p>
            <w:pPr>
              <w:widowControl/>
              <w:jc w:val="left"/>
              <w:rPr>
                <w:rFonts w:hint="eastAsia" w:ascii="等线" w:hAnsi="等线" w:eastAsia="等线" w:cs="宋体"/>
                <w:color w:val="000000"/>
                <w:kern w:val="0"/>
                <w:sz w:val="22"/>
                <w:szCs w:val="22"/>
              </w:rPr>
            </w:pPr>
          </w:p>
        </w:tc>
        <w:tc>
          <w:tcPr>
            <w:tcW w:w="1045"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22</w:t>
            </w:r>
          </w:p>
        </w:tc>
        <w:tc>
          <w:tcPr>
            <w:tcW w:w="2156"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计算机</w:t>
            </w:r>
          </w:p>
        </w:tc>
        <w:tc>
          <w:tcPr>
            <w:tcW w:w="3320" w:type="dxa"/>
            <w:tcBorders>
              <w:top w:val="single" w:color="auto" w:sz="4" w:space="0"/>
              <w:left w:val="nil"/>
              <w:bottom w:val="single" w:color="auto" w:sz="4" w:space="0"/>
              <w:right w:val="single" w:color="auto" w:sz="4" w:space="0"/>
            </w:tcBorders>
            <w:noWrap/>
            <w:vAlign w:val="center"/>
          </w:tcPr>
          <w:p>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含显示器，键鼠套装</w:t>
            </w:r>
          </w:p>
        </w:tc>
        <w:tc>
          <w:tcPr>
            <w:tcW w:w="1045"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23</w:t>
            </w:r>
          </w:p>
        </w:tc>
        <w:tc>
          <w:tcPr>
            <w:tcW w:w="2156" w:type="dxa"/>
            <w:tcBorders>
              <w:top w:val="single" w:color="auto" w:sz="4" w:space="0"/>
              <w:left w:val="nil"/>
              <w:bottom w:val="single" w:color="auto" w:sz="4" w:space="0"/>
              <w:right w:val="single" w:color="auto" w:sz="4" w:space="0"/>
            </w:tcBorders>
            <w:noWrap/>
            <w:vAlign w:val="center"/>
          </w:tcPr>
          <w:p>
            <w:pPr>
              <w:widowControl/>
              <w:rPr>
                <w:rFonts w:hint="eastAsia" w:ascii="等线" w:hAnsi="等线" w:eastAsia="等线" w:cs="宋体"/>
                <w:color w:val="000000"/>
                <w:kern w:val="0"/>
                <w:sz w:val="22"/>
                <w:szCs w:val="22"/>
              </w:rPr>
            </w:pPr>
            <w:bookmarkStart w:id="23" w:name="OLE_LINK23"/>
            <w:r>
              <w:rPr>
                <w:rFonts w:hint="eastAsia" w:ascii="等线" w:hAnsi="等线" w:eastAsia="等线" w:cs="宋体"/>
                <w:color w:val="000000"/>
                <w:kern w:val="0"/>
                <w:sz w:val="22"/>
                <w:szCs w:val="22"/>
              </w:rPr>
              <w:t>编程软件</w:t>
            </w:r>
            <w:bookmarkEnd w:id="23"/>
            <w:r>
              <w:rPr>
                <w:rFonts w:hint="eastAsia" w:ascii="等线" w:hAnsi="等线" w:eastAsia="等线" w:cs="宋体"/>
                <w:color w:val="000000"/>
                <w:kern w:val="0"/>
                <w:sz w:val="22"/>
                <w:szCs w:val="22"/>
              </w:rPr>
              <w:t>：</w:t>
            </w:r>
            <w:r>
              <w:rPr>
                <w:rFonts w:ascii="等线" w:hAnsi="等线" w:eastAsia="等线" w:cs="宋体"/>
                <w:color w:val="000000"/>
                <w:kern w:val="0"/>
                <w:sz w:val="22"/>
                <w:szCs w:val="22"/>
              </w:rPr>
              <w:t>PyCharm</w:t>
            </w:r>
          </w:p>
        </w:tc>
        <w:tc>
          <w:tcPr>
            <w:tcW w:w="3320" w:type="dxa"/>
            <w:tcBorders>
              <w:top w:val="single" w:color="auto" w:sz="4" w:space="0"/>
              <w:left w:val="nil"/>
              <w:bottom w:val="single" w:color="auto" w:sz="4" w:space="0"/>
              <w:right w:val="single" w:color="auto" w:sz="4" w:space="0"/>
            </w:tcBorders>
            <w:noWrap/>
            <w:vAlign w:val="center"/>
          </w:tcPr>
          <w:p>
            <w:pPr>
              <w:widowControl/>
              <w:jc w:val="left"/>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开发语言：python，版本号：2023</w:t>
            </w:r>
          </w:p>
        </w:tc>
        <w:tc>
          <w:tcPr>
            <w:tcW w:w="1045"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套</w:t>
            </w:r>
          </w:p>
        </w:tc>
        <w:tc>
          <w:tcPr>
            <w:tcW w:w="1134"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bookmarkEnd w:id="20"/>
    </w:tbl>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4. 竞赛材料及辅助设施见表3。</w:t>
      </w:r>
    </w:p>
    <w:p>
      <w:pPr>
        <w:spacing w:line="360" w:lineRule="auto"/>
        <w:jc w:val="center"/>
        <w:rPr>
          <w:rFonts w:ascii="Calibri" w:hAnsi="Calibri" w:eastAsia="华文细黑"/>
          <w:sz w:val="24"/>
          <w:lang w:val="zh-CN"/>
        </w:rPr>
      </w:pPr>
      <w:r>
        <w:rPr>
          <w:rFonts w:hint="eastAsia" w:ascii="Calibri" w:hAnsi="Calibri" w:eastAsia="华文细黑"/>
          <w:sz w:val="24"/>
          <w:lang w:val="zh-CN"/>
        </w:rPr>
        <w:t xml:space="preserve">表3.  </w:t>
      </w:r>
      <w:r>
        <w:rPr>
          <w:rFonts w:hint="eastAsia" w:ascii="Noto Sans Mono CJK JP Regular" w:hAnsi="Noto Sans Mono CJK JP Regular" w:eastAsia="华文细黑" w:cs="Noto Sans Mono CJK JP Regular"/>
          <w:kern w:val="0"/>
          <w:sz w:val="24"/>
          <w:szCs w:val="22"/>
          <w:lang w:val="zh-CN"/>
        </w:rPr>
        <w:t>竞赛材料及辅助设施表</w:t>
      </w:r>
    </w:p>
    <w:tbl>
      <w:tblPr>
        <w:tblStyle w:val="12"/>
        <w:tblW w:w="8359" w:type="dxa"/>
        <w:tblInd w:w="0" w:type="dxa"/>
        <w:tblLayout w:type="autofit"/>
        <w:tblCellMar>
          <w:top w:w="0" w:type="dxa"/>
          <w:left w:w="108" w:type="dxa"/>
          <w:bottom w:w="0" w:type="dxa"/>
          <w:right w:w="108" w:type="dxa"/>
        </w:tblCellMar>
      </w:tblPr>
      <w:tblGrid>
        <w:gridCol w:w="704"/>
        <w:gridCol w:w="2156"/>
        <w:gridCol w:w="3320"/>
        <w:gridCol w:w="1045"/>
        <w:gridCol w:w="1134"/>
      </w:tblGrid>
      <w:tr>
        <w:tblPrEx>
          <w:tblCellMar>
            <w:top w:w="0" w:type="dxa"/>
            <w:left w:w="108" w:type="dxa"/>
            <w:bottom w:w="0" w:type="dxa"/>
            <w:right w:w="108" w:type="dxa"/>
          </w:tblCellMar>
        </w:tblPrEx>
        <w:trPr>
          <w:trHeight w:val="380" w:hRule="atLeast"/>
        </w:trPr>
        <w:tc>
          <w:tcPr>
            <w:tcW w:w="70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序号</w:t>
            </w:r>
          </w:p>
        </w:tc>
        <w:tc>
          <w:tcPr>
            <w:tcW w:w="2156"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名称</w:t>
            </w:r>
          </w:p>
        </w:tc>
        <w:tc>
          <w:tcPr>
            <w:tcW w:w="3320"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规格/型号</w:t>
            </w:r>
          </w:p>
        </w:tc>
        <w:tc>
          <w:tcPr>
            <w:tcW w:w="1045"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单位</w:t>
            </w:r>
          </w:p>
        </w:tc>
        <w:tc>
          <w:tcPr>
            <w:tcW w:w="1134" w:type="dxa"/>
            <w:tcBorders>
              <w:top w:val="single" w:color="auto" w:sz="4" w:space="0"/>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数量</w:t>
            </w:r>
          </w:p>
        </w:tc>
      </w:tr>
      <w:tr>
        <w:tblPrEx>
          <w:tblCellMar>
            <w:top w:w="0" w:type="dxa"/>
            <w:left w:w="108" w:type="dxa"/>
            <w:bottom w:w="0" w:type="dxa"/>
            <w:right w:w="108" w:type="dxa"/>
          </w:tblCellMar>
        </w:tblPrEx>
        <w:trPr>
          <w:trHeight w:val="4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2156" w:type="dxa"/>
            <w:tcBorders>
              <w:top w:val="nil"/>
              <w:left w:val="nil"/>
              <w:bottom w:val="single" w:color="auto" w:sz="4" w:space="0"/>
              <w:right w:val="single" w:color="auto" w:sz="4" w:space="0"/>
            </w:tcBorders>
            <w:noWrap/>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工作台</w:t>
            </w:r>
          </w:p>
        </w:tc>
        <w:tc>
          <w:tcPr>
            <w:tcW w:w="3320" w:type="dxa"/>
            <w:tcBorders>
              <w:top w:val="nil"/>
              <w:left w:val="nil"/>
              <w:bottom w:val="single" w:color="auto" w:sz="4" w:space="0"/>
              <w:right w:val="single" w:color="auto" w:sz="4" w:space="0"/>
            </w:tcBorders>
            <w:noWrap/>
            <w:vAlign w:val="center"/>
          </w:tcPr>
          <w:p>
            <w:pPr>
              <w:pStyle w:val="4"/>
              <w:rPr>
                <w:rFonts w:hint="eastAsia" w:ascii="Noto Sans Mono CJK JP Regular" w:hAnsi="Noto Sans Mono CJK JP Regular" w:eastAsia="华文细黑" w:cs="Noto Sans Mono CJK JP Regular"/>
                <w:kern w:val="0"/>
                <w:szCs w:val="21"/>
                <w:lang w:val="zh-CN"/>
              </w:rPr>
            </w:pP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张</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2</w:t>
            </w:r>
          </w:p>
        </w:tc>
        <w:tc>
          <w:tcPr>
            <w:tcW w:w="2156" w:type="dxa"/>
            <w:tcBorders>
              <w:top w:val="nil"/>
              <w:left w:val="nil"/>
              <w:bottom w:val="single" w:color="auto" w:sz="4" w:space="0"/>
              <w:right w:val="single" w:color="auto" w:sz="4" w:space="0"/>
            </w:tcBorders>
            <w:noWrap/>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等线" w:hAnsi="等线" w:eastAsia="等线" w:cs="宋体"/>
                <w:color w:val="000000"/>
                <w:kern w:val="0"/>
                <w:sz w:val="22"/>
                <w:szCs w:val="22"/>
              </w:rPr>
              <w:t>耗材</w:t>
            </w:r>
          </w:p>
        </w:tc>
        <w:tc>
          <w:tcPr>
            <w:tcW w:w="3320" w:type="dxa"/>
            <w:tcBorders>
              <w:top w:val="nil"/>
              <w:left w:val="nil"/>
              <w:bottom w:val="single" w:color="auto" w:sz="4" w:space="0"/>
              <w:right w:val="single" w:color="auto" w:sz="4" w:space="0"/>
            </w:tcBorders>
            <w:noWrap/>
            <w:vAlign w:val="center"/>
          </w:tcPr>
          <w:p>
            <w:pPr>
              <w:pStyle w:val="4"/>
              <w:rPr>
                <w:rFonts w:hint="eastAsia" w:ascii="Noto Sans Mono CJK JP Regular" w:hAnsi="Noto Sans Mono CJK JP Regular" w:eastAsia="华文细黑" w:cs="Noto Sans Mono CJK JP Regular"/>
                <w:kern w:val="0"/>
                <w:szCs w:val="21"/>
                <w:lang w:val="zh-CN"/>
              </w:rPr>
            </w:pP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批</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r>
        <w:tblPrEx>
          <w:tblCellMar>
            <w:top w:w="0" w:type="dxa"/>
            <w:left w:w="108" w:type="dxa"/>
            <w:bottom w:w="0" w:type="dxa"/>
            <w:right w:w="108" w:type="dxa"/>
          </w:tblCellMar>
        </w:tblPrEx>
        <w:trPr>
          <w:trHeight w:val="460" w:hRule="atLeast"/>
        </w:trPr>
        <w:tc>
          <w:tcPr>
            <w:tcW w:w="704" w:type="dxa"/>
            <w:tcBorders>
              <w:top w:val="nil"/>
              <w:left w:val="single" w:color="auto" w:sz="4" w:space="0"/>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3</w:t>
            </w:r>
          </w:p>
        </w:tc>
        <w:tc>
          <w:tcPr>
            <w:tcW w:w="2156"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椅子</w:t>
            </w:r>
          </w:p>
        </w:tc>
        <w:tc>
          <w:tcPr>
            <w:tcW w:w="3320"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p>
        </w:tc>
        <w:tc>
          <w:tcPr>
            <w:tcW w:w="1045"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张</w:t>
            </w:r>
          </w:p>
        </w:tc>
        <w:tc>
          <w:tcPr>
            <w:tcW w:w="1134" w:type="dxa"/>
            <w:tcBorders>
              <w:top w:val="nil"/>
              <w:left w:val="nil"/>
              <w:bottom w:val="single" w:color="auto" w:sz="4" w:space="0"/>
              <w:right w:val="single" w:color="auto" w:sz="4" w:space="0"/>
            </w:tcBorders>
            <w:noWrap/>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w:t>
            </w:r>
          </w:p>
        </w:tc>
      </w:tr>
    </w:tbl>
    <w:p>
      <w:pPr>
        <w:spacing w:line="360" w:lineRule="auto"/>
        <w:ind w:firstLine="480" w:firstLineChars="200"/>
        <w:rPr>
          <w:rFonts w:hint="eastAsia" w:ascii="仿宋" w:hAnsi="仿宋" w:eastAsia="仿宋"/>
          <w:sz w:val="24"/>
        </w:rPr>
      </w:pPr>
      <w:r>
        <w:rPr>
          <w:rFonts w:hint="eastAsia" w:ascii="Noto Sans Mono CJK JP Regular" w:hAnsi="Noto Sans Mono CJK JP Regular" w:eastAsia="华文细黑" w:cs="Noto Sans Mono CJK JP Regular"/>
          <w:kern w:val="0"/>
          <w:sz w:val="24"/>
          <w:szCs w:val="22"/>
          <w:lang w:val="zh-CN"/>
        </w:rPr>
        <w:t>5. 选手自带工具清单见表4。</w:t>
      </w:r>
    </w:p>
    <w:p>
      <w:pPr>
        <w:spacing w:line="360" w:lineRule="auto"/>
        <w:ind w:right="720"/>
        <w:jc w:val="center"/>
        <w:rPr>
          <w:rFonts w:hint="eastAsia" w:ascii="仿宋" w:hAnsi="仿宋" w:eastAsia="仿宋"/>
          <w:sz w:val="24"/>
        </w:rPr>
      </w:pPr>
      <w:r>
        <w:rPr>
          <w:rFonts w:hint="eastAsia" w:ascii="Calibri" w:hAnsi="Calibri" w:eastAsia="华文细黑"/>
          <w:sz w:val="24"/>
          <w:lang w:val="zh-CN"/>
        </w:rPr>
        <w:t>表4.  选手自带工具清单</w:t>
      </w:r>
    </w:p>
    <w:tbl>
      <w:tblPr>
        <w:tblStyle w:val="12"/>
        <w:tblW w:w="84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
        <w:gridCol w:w="2044"/>
        <w:gridCol w:w="741"/>
        <w:gridCol w:w="4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6" w:type="dxa"/>
          </w:tcPr>
          <w:p>
            <w:pPr>
              <w:jc w:val="center"/>
              <w:rPr>
                <w:rFonts w:hint="eastAsia" w:ascii="华文细黑" w:hAnsi="华文细黑" w:eastAsia="华文细黑"/>
                <w:b/>
                <w:szCs w:val="21"/>
              </w:rPr>
            </w:pPr>
            <w:r>
              <w:rPr>
                <w:rFonts w:hint="eastAsia" w:ascii="华文细黑" w:hAnsi="华文细黑" w:eastAsia="华文细黑"/>
                <w:b/>
                <w:szCs w:val="21"/>
              </w:rPr>
              <w:t>序号</w:t>
            </w:r>
          </w:p>
        </w:tc>
        <w:tc>
          <w:tcPr>
            <w:tcW w:w="2044" w:type="dxa"/>
          </w:tcPr>
          <w:p>
            <w:pPr>
              <w:jc w:val="center"/>
              <w:rPr>
                <w:rFonts w:hint="eastAsia" w:ascii="华文细黑" w:hAnsi="华文细黑" w:eastAsia="华文细黑"/>
                <w:b/>
                <w:szCs w:val="21"/>
              </w:rPr>
            </w:pPr>
            <w:r>
              <w:rPr>
                <w:rFonts w:hint="eastAsia" w:ascii="华文细黑" w:hAnsi="华文细黑" w:eastAsia="华文细黑"/>
                <w:b/>
                <w:szCs w:val="21"/>
              </w:rPr>
              <w:t>名称</w:t>
            </w:r>
          </w:p>
        </w:tc>
        <w:tc>
          <w:tcPr>
            <w:tcW w:w="741" w:type="dxa"/>
          </w:tcPr>
          <w:p>
            <w:pPr>
              <w:jc w:val="center"/>
              <w:rPr>
                <w:rFonts w:hint="eastAsia" w:ascii="华文细黑" w:hAnsi="华文细黑" w:eastAsia="华文细黑"/>
                <w:b/>
                <w:szCs w:val="21"/>
              </w:rPr>
            </w:pPr>
            <w:r>
              <w:rPr>
                <w:rFonts w:hint="eastAsia" w:ascii="华文细黑" w:hAnsi="华文细黑" w:eastAsia="华文细黑"/>
                <w:b/>
                <w:szCs w:val="21"/>
              </w:rPr>
              <w:t>数量</w:t>
            </w:r>
          </w:p>
        </w:tc>
        <w:tc>
          <w:tcPr>
            <w:tcW w:w="4719" w:type="dxa"/>
          </w:tcPr>
          <w:p>
            <w:pPr>
              <w:jc w:val="center"/>
              <w:rPr>
                <w:rFonts w:hint="eastAsia" w:ascii="华文细黑" w:hAnsi="华文细黑" w:eastAsia="华文细黑"/>
                <w:b/>
                <w:szCs w:val="21"/>
              </w:rPr>
            </w:pPr>
            <w:r>
              <w:rPr>
                <w:rFonts w:hint="eastAsia" w:ascii="华文细黑" w:hAnsi="华文细黑" w:eastAsia="华文细黑"/>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6"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w:t>
            </w:r>
          </w:p>
        </w:tc>
        <w:tc>
          <w:tcPr>
            <w:tcW w:w="2044"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万用表</w:t>
            </w:r>
          </w:p>
        </w:tc>
        <w:tc>
          <w:tcPr>
            <w:tcW w:w="741"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w:t>
            </w:r>
          </w:p>
        </w:tc>
        <w:tc>
          <w:tcPr>
            <w:tcW w:w="4719"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型号自定，建议为数字式自动换挡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6"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2</w:t>
            </w:r>
          </w:p>
        </w:tc>
        <w:tc>
          <w:tcPr>
            <w:tcW w:w="2044"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剥线钳</w:t>
            </w:r>
          </w:p>
        </w:tc>
        <w:tc>
          <w:tcPr>
            <w:tcW w:w="741"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w:t>
            </w:r>
          </w:p>
        </w:tc>
        <w:tc>
          <w:tcPr>
            <w:tcW w:w="4719"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剥线线径0.3~2.0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6"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3</w:t>
            </w:r>
          </w:p>
        </w:tc>
        <w:tc>
          <w:tcPr>
            <w:tcW w:w="2044"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尖嘴钳</w:t>
            </w:r>
          </w:p>
        </w:tc>
        <w:tc>
          <w:tcPr>
            <w:tcW w:w="741"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w:t>
            </w:r>
          </w:p>
        </w:tc>
        <w:tc>
          <w:tcPr>
            <w:tcW w:w="4719"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125mm，塑料柄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6"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4</w:t>
            </w:r>
          </w:p>
        </w:tc>
        <w:tc>
          <w:tcPr>
            <w:tcW w:w="2044"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断线钳</w:t>
            </w:r>
          </w:p>
        </w:tc>
        <w:tc>
          <w:tcPr>
            <w:tcW w:w="741"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w:t>
            </w:r>
          </w:p>
        </w:tc>
        <w:tc>
          <w:tcPr>
            <w:tcW w:w="4719"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125mm，塑料柄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6"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5</w:t>
            </w:r>
          </w:p>
        </w:tc>
        <w:tc>
          <w:tcPr>
            <w:tcW w:w="2044"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压线钳</w:t>
            </w:r>
          </w:p>
        </w:tc>
        <w:tc>
          <w:tcPr>
            <w:tcW w:w="741"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w:t>
            </w:r>
          </w:p>
        </w:tc>
        <w:tc>
          <w:tcPr>
            <w:tcW w:w="4719"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E系列针式端子压线专用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6"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6</w:t>
            </w:r>
          </w:p>
        </w:tc>
        <w:tc>
          <w:tcPr>
            <w:tcW w:w="2044"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“一”字电工改锥</w:t>
            </w:r>
          </w:p>
        </w:tc>
        <w:tc>
          <w:tcPr>
            <w:tcW w:w="741"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3</w:t>
            </w:r>
          </w:p>
        </w:tc>
        <w:tc>
          <w:tcPr>
            <w:tcW w:w="4719"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3×75mm,5×100mm，6×200mm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6"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7</w:t>
            </w:r>
          </w:p>
        </w:tc>
        <w:tc>
          <w:tcPr>
            <w:tcW w:w="2044"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“十”字电工改锥</w:t>
            </w:r>
          </w:p>
        </w:tc>
        <w:tc>
          <w:tcPr>
            <w:tcW w:w="741"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3</w:t>
            </w:r>
          </w:p>
        </w:tc>
        <w:tc>
          <w:tcPr>
            <w:tcW w:w="4719"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PH 0×75mm，PH 1×100mm，PH 2×200mm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6"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8</w:t>
            </w:r>
          </w:p>
        </w:tc>
        <w:tc>
          <w:tcPr>
            <w:tcW w:w="2044"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内六角扳手</w:t>
            </w:r>
          </w:p>
        </w:tc>
        <w:tc>
          <w:tcPr>
            <w:tcW w:w="741"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w:t>
            </w:r>
          </w:p>
        </w:tc>
        <w:tc>
          <w:tcPr>
            <w:tcW w:w="4719"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6"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9</w:t>
            </w:r>
          </w:p>
        </w:tc>
        <w:tc>
          <w:tcPr>
            <w:tcW w:w="2044"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安全保护用品</w:t>
            </w:r>
          </w:p>
        </w:tc>
        <w:tc>
          <w:tcPr>
            <w:tcW w:w="741"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w:t>
            </w:r>
          </w:p>
        </w:tc>
        <w:tc>
          <w:tcPr>
            <w:tcW w:w="4719"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绝缘鞋、工作服、安全头盔、防护镜、绝缘手套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6"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10</w:t>
            </w:r>
          </w:p>
        </w:tc>
        <w:tc>
          <w:tcPr>
            <w:tcW w:w="2044"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文具</w:t>
            </w:r>
          </w:p>
        </w:tc>
        <w:tc>
          <w:tcPr>
            <w:tcW w:w="741"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w:t>
            </w:r>
          </w:p>
        </w:tc>
        <w:tc>
          <w:tcPr>
            <w:tcW w:w="4719" w:type="dxa"/>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含钢笔、铅笔、橡皮、三角板、线号笔</w:t>
            </w:r>
          </w:p>
        </w:tc>
      </w:tr>
    </w:tbl>
    <w:p>
      <w:pPr>
        <w:spacing w:before="62" w:beforeLines="20" w:after="156" w:afterLines="50" w:line="360" w:lineRule="auto"/>
        <w:ind w:firstLine="420" w:firstLineChars="200"/>
        <w:rPr>
          <w:rFonts w:hint="eastAsia" w:ascii="仿宋" w:hAnsi="仿宋" w:eastAsia="仿宋"/>
          <w:sz w:val="24"/>
          <w:lang w:val="zh-CN"/>
        </w:rPr>
      </w:pPr>
      <w:r>
        <w:rPr>
          <w:rFonts w:hint="eastAsia" w:ascii="Noto Sans Mono CJK JP Regular" w:hAnsi="Noto Sans Mono CJK JP Regular" w:eastAsia="华文细黑" w:cs="Noto Sans Mono CJK JP Regular"/>
          <w:kern w:val="0"/>
          <w:szCs w:val="21"/>
          <w:lang w:val="zh-CN"/>
        </w:rPr>
        <w:t>注：选手不得使用电动工具。</w:t>
      </w:r>
    </w:p>
    <w:p>
      <w:pPr>
        <w:spacing w:before="156" w:beforeLines="50" w:after="156" w:afterLines="50" w:line="360" w:lineRule="auto"/>
        <w:ind w:firstLine="602" w:firstLineChars="200"/>
        <w:rPr>
          <w:rFonts w:hint="eastAsia" w:ascii="仿宋" w:hAnsi="仿宋" w:eastAsia="仿宋"/>
          <w:b/>
          <w:bCs/>
          <w:sz w:val="28"/>
          <w:szCs w:val="28"/>
        </w:rPr>
      </w:pPr>
      <w:r>
        <w:rPr>
          <w:rFonts w:hint="eastAsia" w:ascii="黑体" w:hAnsi="黑体" w:eastAsia="黑体" w:cs="黑体"/>
          <w:b/>
          <w:bCs/>
          <w:sz w:val="30"/>
          <w:szCs w:val="30"/>
        </w:rPr>
        <w:t>七、竞赛安全</w:t>
      </w:r>
    </w:p>
    <w:p>
      <w:pPr>
        <w:spacing w:line="360" w:lineRule="auto"/>
        <w:ind w:firstLine="480"/>
        <w:rPr>
          <w:rFonts w:ascii="Calibri" w:hAnsi="Calibri" w:eastAsia="华文细黑"/>
          <w:sz w:val="24"/>
          <w:lang w:val="zh-CN"/>
        </w:rPr>
      </w:pPr>
      <w:r>
        <w:rPr>
          <w:rFonts w:hint="eastAsia" w:ascii="Calibri" w:hAnsi="Calibri" w:eastAsia="华文细黑"/>
          <w:b/>
          <w:bCs/>
          <w:sz w:val="24"/>
          <w:lang w:val="zh-CN"/>
        </w:rPr>
        <w:t>（</w:t>
      </w:r>
      <w:r>
        <w:rPr>
          <w:rFonts w:hint="eastAsia" w:ascii="Calibri" w:hAnsi="Calibri" w:eastAsia="华文细黑"/>
          <w:b/>
          <w:bCs/>
          <w:sz w:val="24"/>
        </w:rPr>
        <w:t>一</w:t>
      </w:r>
      <w:r>
        <w:rPr>
          <w:rFonts w:hint="eastAsia" w:ascii="Calibri" w:hAnsi="Calibri" w:eastAsia="华文细黑"/>
          <w:b/>
          <w:bCs/>
          <w:sz w:val="24"/>
          <w:lang w:val="zh-CN"/>
        </w:rPr>
        <w:t>）赛场安全</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1.赛场所有人员（赛场管理与组织人员、裁判员、参赛人员以及观摩人员）不得在竞赛现场内外吸烟，不听劝阻者给予通报批评或清退比赛现场，造成严重后果的将依法处理。</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2.未经允许不得使用和移动竞赛场内的任何设施设备（包括消防器材等），工具使用后放回原处。</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3.选手在竞赛中必须遵守赛场的各项规章制度和操作规程，安全、合理地使用各种设施设备和工具，出现严重违章操作设备的，裁判视情节轻重进行批评和终止比赛。</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4.选手参加实际操作竞赛前，应认真学习竞赛项目安全操作规程。竞赛中如发现问题应及时解决，无法解决的问题应及时向裁判员报告，裁判员视情况予以判定，并协调处理。</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5.参赛选手不得触动非竞赛用仪器设备，对竞赛仪器设备造成损坏，由当事人承担赔偿责任（视情节而定），并通报批评；参赛选手若出现恶意破坏仪器设备等情节严重者将依法处理。</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6.比赛期间所有进入赛区车辆、人员需凭证入内，并主动向工作人员出示。</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7.赛前选手要认真阅读竞赛服务指南和竞赛秩序册。</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8.各类人员须严格遵守赛场规则，严禁携带比赛严令禁止的物品入内。</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9.严禁携带易燃易爆等危险品入内。</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10.赛场必须留有安全通道，必须配备灭火设备，赛场应具备良好的通风、照明和操作空间的条件，做好竞赛安全、健康和公共卫生及突发事件预防与应急处理等工作。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11.安保人员发现不安全隐患及时通报赛场负责人员。</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12.如遇严重突发事件，在安保人员指挥下，迅速按紧急疏散路线撤离现场。</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13.赛场必须配备医护人员和必须的药品。</w:t>
      </w:r>
    </w:p>
    <w:p>
      <w:pPr>
        <w:spacing w:line="360" w:lineRule="auto"/>
        <w:ind w:firstLine="480"/>
        <w:rPr>
          <w:rFonts w:ascii="Calibri" w:hAnsi="Calibri" w:eastAsia="华文细黑"/>
          <w:b/>
          <w:bCs/>
          <w:sz w:val="24"/>
          <w:lang w:val="zh-CN"/>
        </w:rPr>
      </w:pPr>
      <w:r>
        <w:rPr>
          <w:rFonts w:hint="eastAsia" w:ascii="Calibri" w:hAnsi="Calibri" w:eastAsia="华文细黑"/>
          <w:b/>
          <w:bCs/>
          <w:sz w:val="24"/>
          <w:lang w:val="zh-CN"/>
        </w:rPr>
        <w:t>（</w:t>
      </w:r>
      <w:r>
        <w:rPr>
          <w:rFonts w:hint="eastAsia" w:ascii="Calibri" w:hAnsi="Calibri" w:eastAsia="华文细黑"/>
          <w:b/>
          <w:bCs/>
          <w:sz w:val="24"/>
        </w:rPr>
        <w:t>二</w:t>
      </w:r>
      <w:r>
        <w:rPr>
          <w:rFonts w:hint="eastAsia" w:ascii="Calibri" w:hAnsi="Calibri" w:eastAsia="华文细黑"/>
          <w:b/>
          <w:bCs/>
          <w:sz w:val="24"/>
          <w:lang w:val="zh-CN"/>
        </w:rPr>
        <w:t>）安全操作规程</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1.选手必须身着工作服进行比赛，工作服要求采用纯棉材质，形式为长衣长裤，上衣采用拉链式，袖口和下摆有收紧功能，比赛全程要求做到“领口紧、袖口紧、下摆紧”的三紧要求。</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2.比赛期间，长发（超过10cm）选手必须把头发束起（或盘起），并穿戴工作帽（布质）进行保护，头发不得散落在工作帽之外。</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3.选手在进行安装布线操作时，必须穿戴硬壳防护头盔（或塑料安全头盔），防止高处掉落物品或磕碰导致受伤。</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4.选手比赛全程需穿着绝缘鞋，绝缘鞋同时要求具有防砸、防穿刺功能。</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5.竞赛过程中，选手需要全程保持竞赛区域的环境整洁有序，防止绊倒，摔倒。</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6.选手使用的工具必须符合电气安全要求，不得使用木工改锥进行电气安装操作。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7.选手必须使用正规，带有安全认证标志的仪表进行测试和测量。</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8.选手必须爱护竞赛设备和设施，不得使用不合理的方式对设备和设施进行操作，不得使用错误的或者不合理的工具对设备设施进行操作。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9.选手安装和配线完成，第一次进行上电测试时，选手必须佩带护目镜和绝缘手套进行操作。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10.对设备进行测试时，选手不得采用人为强制手段对设备和器件操作。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11.在低处操作时，必须采用单腿跪姿进行操作，禁止采用蹲姿，坐姿进行操作。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lang w:val="zh-CN"/>
        </w:rPr>
        <w:t>12.</w:t>
      </w:r>
      <w:r>
        <w:rPr>
          <w:rFonts w:hint="eastAsia" w:ascii="MicrosoftYaHei" w:eastAsia="MicrosoftYaHei" w:cs="MicrosoftYaHei"/>
          <w:kern w:val="0"/>
          <w:sz w:val="24"/>
        </w:rPr>
        <w:t xml:space="preserve"> </w:t>
      </w:r>
      <w:r>
        <w:rPr>
          <w:rFonts w:hint="eastAsia" w:ascii="Noto Sans Mono CJK JP Regular" w:hAnsi="Noto Sans Mono CJK JP Regular" w:eastAsia="华文细黑" w:cs="Noto Sans Mono CJK JP Regular"/>
          <w:kern w:val="0"/>
          <w:sz w:val="24"/>
          <w:szCs w:val="22"/>
        </w:rPr>
        <w:t>设备进行合闸和按钮操作时，必须使用右手操作，不得双手同时操作设</w:t>
      </w:r>
    </w:p>
    <w:p>
      <w:pPr>
        <w:spacing w:line="360" w:lineRule="auto"/>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rPr>
        <w:t>备。</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13.赛场内禁止携带和存放易燃、易爆、挥发性物质和材料。</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p>
    <w:p>
      <w:pPr>
        <w:spacing w:before="156" w:beforeLines="50" w:after="156" w:afterLines="50" w:line="360" w:lineRule="auto"/>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八、开放赛场</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（一）比赛承办方应在不影响选手比赛和裁判员工作的前提下提供开放式场地供参观者观摩。</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（二）比赛承办方应积极做好竞赛的宣传工作。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（三）参观人员需经过登记审核，安检和检查携带的物品后，方可进入赛场。</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p>
    <w:sectPr>
      <w:footerReference r:id="rId3" w:type="default"/>
      <w:footerReference r:id="rId4" w:type="even"/>
      <w:pgSz w:w="11906" w:h="16838"/>
      <w:pgMar w:top="1440" w:right="1797" w:bottom="1440" w:left="1797"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Noto Sans Mono CJK JP Regular">
    <w:altName w:val="Calibri"/>
    <w:panose1 w:val="00000000000000000000"/>
    <w:charset w:val="00"/>
    <w:family w:val="swiss"/>
    <w:pitch w:val="default"/>
    <w:sig w:usb0="00000000" w:usb1="00000000" w:usb2="00000000" w:usb3="00000000" w:csb0="00000000" w:csb1="00000000"/>
  </w:font>
  <w:font w:name="华文细黑">
    <w:panose1 w:val="02010600040101010101"/>
    <w:charset w:val="86"/>
    <w:family w:val="auto"/>
    <w:pitch w:val="default"/>
    <w:sig w:usb0="00000287" w:usb1="080F0000" w:usb2="00000000" w:usb3="00000000" w:csb0="0004009F" w:csb1="DFD70000"/>
  </w:font>
  <w:font w:name="等线">
    <w:altName w:val="方正黑体简体"/>
    <w:panose1 w:val="02010600030101010101"/>
    <w:charset w:val="86"/>
    <w:family w:val="auto"/>
    <w:pitch w:val="default"/>
    <w:sig w:usb0="00000000" w:usb1="00000000" w:usb2="00000016" w:usb3="00000000" w:csb0="0004000F" w:csb1="00000000"/>
  </w:font>
  <w:font w:name="方正黑体简体">
    <w:panose1 w:val="03000509000000000000"/>
    <w:charset w:val="86"/>
    <w:family w:val="auto"/>
    <w:pitch w:val="default"/>
    <w:sig w:usb0="00000001" w:usb1="080E0000" w:usb2="00000000" w:usb3="00000000" w:csb0="00040000" w:csb1="00000000"/>
  </w:font>
  <w:font w:name="MicrosoftYaHei">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4"/>
      </w:rPr>
    </w:pPr>
    <w:r>
      <w:rPr>
        <w:rStyle w:val="14"/>
      </w:rPr>
      <w:fldChar w:fldCharType="begin"/>
    </w:r>
    <w:r>
      <w:rPr>
        <w:rStyle w:val="14"/>
      </w:rPr>
      <w:instrText xml:space="preserve">PAGE  </w:instrText>
    </w:r>
    <w:r>
      <w:rPr>
        <w:rStyle w:val="14"/>
      </w:rPr>
      <w:fldChar w:fldCharType="separate"/>
    </w:r>
    <w:r>
      <w:rPr>
        <w:rStyle w:val="14"/>
      </w:rPr>
      <w:t>8</w:t>
    </w:r>
    <w:r>
      <w:rPr>
        <w:rStyle w:val="14"/>
      </w:rPr>
      <w:fldChar w:fldCharType="end"/>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4"/>
      </w:rPr>
    </w:pPr>
    <w:r>
      <w:rPr>
        <w:rStyle w:val="14"/>
      </w:rPr>
      <w:fldChar w:fldCharType="begin"/>
    </w:r>
    <w:r>
      <w:rPr>
        <w:rStyle w:val="14"/>
      </w:rPr>
      <w:instrText xml:space="preserve">PAGE  </w:instrText>
    </w:r>
    <w:r>
      <w:rPr>
        <w:rStyle w:val="14"/>
      </w:rPr>
      <w:fldChar w:fldCharType="end"/>
    </w:r>
  </w:p>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wYTY0MGM3ZjczMTVkYjQ5ZTc3MzI4MmY2ZTUzMTIifQ=="/>
  </w:docVars>
  <w:rsids>
    <w:rsidRoot w:val="001F280B"/>
    <w:rsid w:val="00001836"/>
    <w:rsid w:val="0000321C"/>
    <w:rsid w:val="00003F9D"/>
    <w:rsid w:val="00007104"/>
    <w:rsid w:val="000152C1"/>
    <w:rsid w:val="00025D4A"/>
    <w:rsid w:val="000306DD"/>
    <w:rsid w:val="00035DE6"/>
    <w:rsid w:val="00035EFC"/>
    <w:rsid w:val="0003662F"/>
    <w:rsid w:val="00041892"/>
    <w:rsid w:val="000420A9"/>
    <w:rsid w:val="0004731D"/>
    <w:rsid w:val="00052B0C"/>
    <w:rsid w:val="00062E92"/>
    <w:rsid w:val="00077B4B"/>
    <w:rsid w:val="00083834"/>
    <w:rsid w:val="00083C06"/>
    <w:rsid w:val="00086488"/>
    <w:rsid w:val="000866E0"/>
    <w:rsid w:val="000868BD"/>
    <w:rsid w:val="00091ED1"/>
    <w:rsid w:val="00095CA3"/>
    <w:rsid w:val="000A02A0"/>
    <w:rsid w:val="000A30FE"/>
    <w:rsid w:val="000B419E"/>
    <w:rsid w:val="000B45C0"/>
    <w:rsid w:val="000B5433"/>
    <w:rsid w:val="000C23C1"/>
    <w:rsid w:val="000C2E26"/>
    <w:rsid w:val="000C6622"/>
    <w:rsid w:val="000D173E"/>
    <w:rsid w:val="000D760B"/>
    <w:rsid w:val="000E1419"/>
    <w:rsid w:val="000E1D97"/>
    <w:rsid w:val="000E4EF6"/>
    <w:rsid w:val="000E752F"/>
    <w:rsid w:val="000F2874"/>
    <w:rsid w:val="000F4943"/>
    <w:rsid w:val="000F74F7"/>
    <w:rsid w:val="001011BB"/>
    <w:rsid w:val="00106CCF"/>
    <w:rsid w:val="00107F03"/>
    <w:rsid w:val="0011082F"/>
    <w:rsid w:val="00111D33"/>
    <w:rsid w:val="00120855"/>
    <w:rsid w:val="00130676"/>
    <w:rsid w:val="00133459"/>
    <w:rsid w:val="00136D05"/>
    <w:rsid w:val="0014051B"/>
    <w:rsid w:val="00144382"/>
    <w:rsid w:val="00144B88"/>
    <w:rsid w:val="00144C2E"/>
    <w:rsid w:val="001451F4"/>
    <w:rsid w:val="00147105"/>
    <w:rsid w:val="00147225"/>
    <w:rsid w:val="00163348"/>
    <w:rsid w:val="00167159"/>
    <w:rsid w:val="00170AAF"/>
    <w:rsid w:val="0017239A"/>
    <w:rsid w:val="0017334B"/>
    <w:rsid w:val="001753F0"/>
    <w:rsid w:val="00180DBC"/>
    <w:rsid w:val="00183116"/>
    <w:rsid w:val="00185085"/>
    <w:rsid w:val="00185AAB"/>
    <w:rsid w:val="00187049"/>
    <w:rsid w:val="00191A35"/>
    <w:rsid w:val="00191CEE"/>
    <w:rsid w:val="00193D97"/>
    <w:rsid w:val="00196532"/>
    <w:rsid w:val="001A2943"/>
    <w:rsid w:val="001A3456"/>
    <w:rsid w:val="001A3B51"/>
    <w:rsid w:val="001A4B75"/>
    <w:rsid w:val="001A6584"/>
    <w:rsid w:val="001B02F1"/>
    <w:rsid w:val="001B38DF"/>
    <w:rsid w:val="001B66B4"/>
    <w:rsid w:val="001B6851"/>
    <w:rsid w:val="001D02F2"/>
    <w:rsid w:val="001D1586"/>
    <w:rsid w:val="001D1973"/>
    <w:rsid w:val="001D4BB7"/>
    <w:rsid w:val="001D4F7A"/>
    <w:rsid w:val="001D55DD"/>
    <w:rsid w:val="001D72A3"/>
    <w:rsid w:val="001D784B"/>
    <w:rsid w:val="001E53C6"/>
    <w:rsid w:val="001E6E59"/>
    <w:rsid w:val="001F280B"/>
    <w:rsid w:val="001F38FA"/>
    <w:rsid w:val="001F6034"/>
    <w:rsid w:val="001F60A1"/>
    <w:rsid w:val="001F7385"/>
    <w:rsid w:val="002010A9"/>
    <w:rsid w:val="00204529"/>
    <w:rsid w:val="00212306"/>
    <w:rsid w:val="00214CDA"/>
    <w:rsid w:val="00217585"/>
    <w:rsid w:val="002175A2"/>
    <w:rsid w:val="0022055F"/>
    <w:rsid w:val="0022228C"/>
    <w:rsid w:val="00223B83"/>
    <w:rsid w:val="00224256"/>
    <w:rsid w:val="00233932"/>
    <w:rsid w:val="002347B0"/>
    <w:rsid w:val="002375D5"/>
    <w:rsid w:val="002518D2"/>
    <w:rsid w:val="00252D99"/>
    <w:rsid w:val="0025404F"/>
    <w:rsid w:val="0025466E"/>
    <w:rsid w:val="00255D46"/>
    <w:rsid w:val="00264A38"/>
    <w:rsid w:val="0026515D"/>
    <w:rsid w:val="00275BA1"/>
    <w:rsid w:val="00280389"/>
    <w:rsid w:val="00286638"/>
    <w:rsid w:val="00287F39"/>
    <w:rsid w:val="00287F68"/>
    <w:rsid w:val="002931F9"/>
    <w:rsid w:val="00297C25"/>
    <w:rsid w:val="002A080F"/>
    <w:rsid w:val="002A0EA7"/>
    <w:rsid w:val="002A124E"/>
    <w:rsid w:val="002A444C"/>
    <w:rsid w:val="002A6850"/>
    <w:rsid w:val="002B17CD"/>
    <w:rsid w:val="002B44E7"/>
    <w:rsid w:val="002B5288"/>
    <w:rsid w:val="002B5B79"/>
    <w:rsid w:val="002B669E"/>
    <w:rsid w:val="002B6C5A"/>
    <w:rsid w:val="002C14E2"/>
    <w:rsid w:val="002C2F64"/>
    <w:rsid w:val="002C43DE"/>
    <w:rsid w:val="002D4A86"/>
    <w:rsid w:val="002D5DAA"/>
    <w:rsid w:val="002D77AB"/>
    <w:rsid w:val="002E23DE"/>
    <w:rsid w:val="002E3C8C"/>
    <w:rsid w:val="002E5F6E"/>
    <w:rsid w:val="002F04FF"/>
    <w:rsid w:val="002F05A7"/>
    <w:rsid w:val="002F3FAB"/>
    <w:rsid w:val="00301D46"/>
    <w:rsid w:val="00303040"/>
    <w:rsid w:val="003034E1"/>
    <w:rsid w:val="0030619C"/>
    <w:rsid w:val="00306285"/>
    <w:rsid w:val="0032326F"/>
    <w:rsid w:val="003232F7"/>
    <w:rsid w:val="00334844"/>
    <w:rsid w:val="00337FF4"/>
    <w:rsid w:val="003504F0"/>
    <w:rsid w:val="003505C4"/>
    <w:rsid w:val="00353162"/>
    <w:rsid w:val="00354696"/>
    <w:rsid w:val="00355FC8"/>
    <w:rsid w:val="00365E6A"/>
    <w:rsid w:val="00370392"/>
    <w:rsid w:val="003753A2"/>
    <w:rsid w:val="00375BCB"/>
    <w:rsid w:val="003832E9"/>
    <w:rsid w:val="003941BA"/>
    <w:rsid w:val="003A7CEC"/>
    <w:rsid w:val="003B04D2"/>
    <w:rsid w:val="003B1B4D"/>
    <w:rsid w:val="003B416E"/>
    <w:rsid w:val="003B6D0F"/>
    <w:rsid w:val="003D11B9"/>
    <w:rsid w:val="003D2770"/>
    <w:rsid w:val="003D46F0"/>
    <w:rsid w:val="003E141C"/>
    <w:rsid w:val="003E2323"/>
    <w:rsid w:val="003E4126"/>
    <w:rsid w:val="003E6B73"/>
    <w:rsid w:val="003F0B7B"/>
    <w:rsid w:val="003F2147"/>
    <w:rsid w:val="003F24AC"/>
    <w:rsid w:val="003F6DFF"/>
    <w:rsid w:val="00400329"/>
    <w:rsid w:val="0040151F"/>
    <w:rsid w:val="00401582"/>
    <w:rsid w:val="00404DB7"/>
    <w:rsid w:val="00404F07"/>
    <w:rsid w:val="0041141A"/>
    <w:rsid w:val="00411717"/>
    <w:rsid w:val="004136E4"/>
    <w:rsid w:val="00415F79"/>
    <w:rsid w:val="00416719"/>
    <w:rsid w:val="004202A5"/>
    <w:rsid w:val="004320A4"/>
    <w:rsid w:val="004320F4"/>
    <w:rsid w:val="00434F2D"/>
    <w:rsid w:val="004367B8"/>
    <w:rsid w:val="00441E76"/>
    <w:rsid w:val="00445217"/>
    <w:rsid w:val="0044526C"/>
    <w:rsid w:val="0044581F"/>
    <w:rsid w:val="00451875"/>
    <w:rsid w:val="00457B78"/>
    <w:rsid w:val="004612BC"/>
    <w:rsid w:val="00461AAA"/>
    <w:rsid w:val="00461C99"/>
    <w:rsid w:val="004706D5"/>
    <w:rsid w:val="0047182D"/>
    <w:rsid w:val="00472EEF"/>
    <w:rsid w:val="00475124"/>
    <w:rsid w:val="0047720B"/>
    <w:rsid w:val="00483312"/>
    <w:rsid w:val="00484B93"/>
    <w:rsid w:val="00486AFA"/>
    <w:rsid w:val="004902CF"/>
    <w:rsid w:val="0049129E"/>
    <w:rsid w:val="0049309C"/>
    <w:rsid w:val="004934E6"/>
    <w:rsid w:val="004A43B7"/>
    <w:rsid w:val="004A55A0"/>
    <w:rsid w:val="004A6642"/>
    <w:rsid w:val="004A6CF0"/>
    <w:rsid w:val="004B2DE1"/>
    <w:rsid w:val="004B694F"/>
    <w:rsid w:val="004C175D"/>
    <w:rsid w:val="004C1B8D"/>
    <w:rsid w:val="004C38F4"/>
    <w:rsid w:val="004C5B3C"/>
    <w:rsid w:val="004D0C44"/>
    <w:rsid w:val="004E66BB"/>
    <w:rsid w:val="004F272E"/>
    <w:rsid w:val="00502293"/>
    <w:rsid w:val="00502488"/>
    <w:rsid w:val="00503AC0"/>
    <w:rsid w:val="00511955"/>
    <w:rsid w:val="00516426"/>
    <w:rsid w:val="00527F23"/>
    <w:rsid w:val="005307B8"/>
    <w:rsid w:val="00534B6E"/>
    <w:rsid w:val="00536685"/>
    <w:rsid w:val="005415EF"/>
    <w:rsid w:val="005467CF"/>
    <w:rsid w:val="00546847"/>
    <w:rsid w:val="00546CB5"/>
    <w:rsid w:val="00547936"/>
    <w:rsid w:val="005512AE"/>
    <w:rsid w:val="005518FD"/>
    <w:rsid w:val="005568DF"/>
    <w:rsid w:val="00560446"/>
    <w:rsid w:val="00564B75"/>
    <w:rsid w:val="00567E52"/>
    <w:rsid w:val="00571402"/>
    <w:rsid w:val="0057213C"/>
    <w:rsid w:val="005724E3"/>
    <w:rsid w:val="005806F4"/>
    <w:rsid w:val="0058468A"/>
    <w:rsid w:val="00587816"/>
    <w:rsid w:val="00590C09"/>
    <w:rsid w:val="00592483"/>
    <w:rsid w:val="00593605"/>
    <w:rsid w:val="00595EC2"/>
    <w:rsid w:val="00596CBF"/>
    <w:rsid w:val="00597A12"/>
    <w:rsid w:val="005A0EFF"/>
    <w:rsid w:val="005A2183"/>
    <w:rsid w:val="005A2332"/>
    <w:rsid w:val="005A28E2"/>
    <w:rsid w:val="005A7728"/>
    <w:rsid w:val="005C0705"/>
    <w:rsid w:val="005C5A28"/>
    <w:rsid w:val="005C770A"/>
    <w:rsid w:val="005D5867"/>
    <w:rsid w:val="005D6C6B"/>
    <w:rsid w:val="005D7480"/>
    <w:rsid w:val="005E004D"/>
    <w:rsid w:val="005E362F"/>
    <w:rsid w:val="005E3DA6"/>
    <w:rsid w:val="005F0DD1"/>
    <w:rsid w:val="00601F02"/>
    <w:rsid w:val="00605B18"/>
    <w:rsid w:val="00605B3F"/>
    <w:rsid w:val="00610385"/>
    <w:rsid w:val="00610A27"/>
    <w:rsid w:val="006111A9"/>
    <w:rsid w:val="00617B05"/>
    <w:rsid w:val="006228C6"/>
    <w:rsid w:val="00625A2C"/>
    <w:rsid w:val="00626541"/>
    <w:rsid w:val="00627896"/>
    <w:rsid w:val="00630B64"/>
    <w:rsid w:val="00631CE9"/>
    <w:rsid w:val="00633678"/>
    <w:rsid w:val="006354D7"/>
    <w:rsid w:val="00635C52"/>
    <w:rsid w:val="006361CD"/>
    <w:rsid w:val="00637DE5"/>
    <w:rsid w:val="00640B99"/>
    <w:rsid w:val="00642590"/>
    <w:rsid w:val="00642CF1"/>
    <w:rsid w:val="006505BD"/>
    <w:rsid w:val="0065284F"/>
    <w:rsid w:val="0065295D"/>
    <w:rsid w:val="006537E0"/>
    <w:rsid w:val="0065615A"/>
    <w:rsid w:val="00661CAD"/>
    <w:rsid w:val="0066462C"/>
    <w:rsid w:val="00665CF0"/>
    <w:rsid w:val="00667363"/>
    <w:rsid w:val="006801ED"/>
    <w:rsid w:val="0068291F"/>
    <w:rsid w:val="00683F0D"/>
    <w:rsid w:val="006849D8"/>
    <w:rsid w:val="00684B6D"/>
    <w:rsid w:val="006858A2"/>
    <w:rsid w:val="00691770"/>
    <w:rsid w:val="00692153"/>
    <w:rsid w:val="0069301B"/>
    <w:rsid w:val="006932A2"/>
    <w:rsid w:val="00693F64"/>
    <w:rsid w:val="00695B0A"/>
    <w:rsid w:val="006962C8"/>
    <w:rsid w:val="0069775B"/>
    <w:rsid w:val="006A0215"/>
    <w:rsid w:val="006A244C"/>
    <w:rsid w:val="006A3323"/>
    <w:rsid w:val="006A6CF6"/>
    <w:rsid w:val="006B54F6"/>
    <w:rsid w:val="006C4FD9"/>
    <w:rsid w:val="006C7169"/>
    <w:rsid w:val="006D0D4D"/>
    <w:rsid w:val="006D1E9F"/>
    <w:rsid w:val="006D20F1"/>
    <w:rsid w:val="006D493E"/>
    <w:rsid w:val="006D5B86"/>
    <w:rsid w:val="006D662E"/>
    <w:rsid w:val="006E082E"/>
    <w:rsid w:val="006E143E"/>
    <w:rsid w:val="006E2812"/>
    <w:rsid w:val="006E3A82"/>
    <w:rsid w:val="006F11E9"/>
    <w:rsid w:val="006F28CE"/>
    <w:rsid w:val="006F5F81"/>
    <w:rsid w:val="006F7B27"/>
    <w:rsid w:val="007029E5"/>
    <w:rsid w:val="00705B22"/>
    <w:rsid w:val="007074A2"/>
    <w:rsid w:val="00710131"/>
    <w:rsid w:val="0071091F"/>
    <w:rsid w:val="007122EC"/>
    <w:rsid w:val="0071239F"/>
    <w:rsid w:val="00716594"/>
    <w:rsid w:val="0071711C"/>
    <w:rsid w:val="007209C5"/>
    <w:rsid w:val="00721132"/>
    <w:rsid w:val="00724E7A"/>
    <w:rsid w:val="00727D19"/>
    <w:rsid w:val="0073052D"/>
    <w:rsid w:val="007330D8"/>
    <w:rsid w:val="00736891"/>
    <w:rsid w:val="0074013C"/>
    <w:rsid w:val="00740B77"/>
    <w:rsid w:val="007415E7"/>
    <w:rsid w:val="007434D2"/>
    <w:rsid w:val="0075145F"/>
    <w:rsid w:val="007572FF"/>
    <w:rsid w:val="0075790D"/>
    <w:rsid w:val="00763302"/>
    <w:rsid w:val="00767EB4"/>
    <w:rsid w:val="00777D17"/>
    <w:rsid w:val="00782834"/>
    <w:rsid w:val="00783907"/>
    <w:rsid w:val="007847A5"/>
    <w:rsid w:val="007876A9"/>
    <w:rsid w:val="00791E7C"/>
    <w:rsid w:val="007A0870"/>
    <w:rsid w:val="007A0E9E"/>
    <w:rsid w:val="007A537E"/>
    <w:rsid w:val="007A6F67"/>
    <w:rsid w:val="007A765B"/>
    <w:rsid w:val="007B0D6A"/>
    <w:rsid w:val="007C0CC5"/>
    <w:rsid w:val="007C3485"/>
    <w:rsid w:val="007C5EB6"/>
    <w:rsid w:val="007C6BCD"/>
    <w:rsid w:val="007D1DBE"/>
    <w:rsid w:val="007D2034"/>
    <w:rsid w:val="007D5070"/>
    <w:rsid w:val="007D6F79"/>
    <w:rsid w:val="007E13B9"/>
    <w:rsid w:val="007E2AAA"/>
    <w:rsid w:val="007E3E31"/>
    <w:rsid w:val="007F21EB"/>
    <w:rsid w:val="007F45C4"/>
    <w:rsid w:val="00807757"/>
    <w:rsid w:val="0081599C"/>
    <w:rsid w:val="00817663"/>
    <w:rsid w:val="00823B73"/>
    <w:rsid w:val="0082516F"/>
    <w:rsid w:val="00825AAA"/>
    <w:rsid w:val="00827E6F"/>
    <w:rsid w:val="008338A2"/>
    <w:rsid w:val="00834E8C"/>
    <w:rsid w:val="00835AD4"/>
    <w:rsid w:val="00835B9B"/>
    <w:rsid w:val="00837E4D"/>
    <w:rsid w:val="00843A24"/>
    <w:rsid w:val="00844A6E"/>
    <w:rsid w:val="0085738B"/>
    <w:rsid w:val="00860428"/>
    <w:rsid w:val="00861EAF"/>
    <w:rsid w:val="008654F9"/>
    <w:rsid w:val="0086694D"/>
    <w:rsid w:val="0086742A"/>
    <w:rsid w:val="008716A4"/>
    <w:rsid w:val="008874F6"/>
    <w:rsid w:val="00890AB2"/>
    <w:rsid w:val="00891386"/>
    <w:rsid w:val="0089255C"/>
    <w:rsid w:val="00895BE9"/>
    <w:rsid w:val="008A5D99"/>
    <w:rsid w:val="008A61BA"/>
    <w:rsid w:val="008A680F"/>
    <w:rsid w:val="008B0E40"/>
    <w:rsid w:val="008B1ACE"/>
    <w:rsid w:val="008B3E49"/>
    <w:rsid w:val="008B721E"/>
    <w:rsid w:val="008C0712"/>
    <w:rsid w:val="008C6507"/>
    <w:rsid w:val="008D062A"/>
    <w:rsid w:val="008D31D3"/>
    <w:rsid w:val="008D59F9"/>
    <w:rsid w:val="008E3DE2"/>
    <w:rsid w:val="008E4F8C"/>
    <w:rsid w:val="008F039C"/>
    <w:rsid w:val="008F273C"/>
    <w:rsid w:val="008F49A9"/>
    <w:rsid w:val="008F661B"/>
    <w:rsid w:val="00902E8F"/>
    <w:rsid w:val="00904D2F"/>
    <w:rsid w:val="009057C0"/>
    <w:rsid w:val="00905A56"/>
    <w:rsid w:val="009067C7"/>
    <w:rsid w:val="00907C73"/>
    <w:rsid w:val="00915477"/>
    <w:rsid w:val="00916BC6"/>
    <w:rsid w:val="00921337"/>
    <w:rsid w:val="00921EF3"/>
    <w:rsid w:val="0092363F"/>
    <w:rsid w:val="0093168C"/>
    <w:rsid w:val="00932AB5"/>
    <w:rsid w:val="0093559C"/>
    <w:rsid w:val="00936916"/>
    <w:rsid w:val="009370CE"/>
    <w:rsid w:val="0094050A"/>
    <w:rsid w:val="0094053B"/>
    <w:rsid w:val="009407F9"/>
    <w:rsid w:val="0094519A"/>
    <w:rsid w:val="00945714"/>
    <w:rsid w:val="0095066E"/>
    <w:rsid w:val="00952FB3"/>
    <w:rsid w:val="00953CC6"/>
    <w:rsid w:val="00955881"/>
    <w:rsid w:val="00956C8A"/>
    <w:rsid w:val="00960E32"/>
    <w:rsid w:val="00967178"/>
    <w:rsid w:val="00974C5F"/>
    <w:rsid w:val="00975DE6"/>
    <w:rsid w:val="00975EE7"/>
    <w:rsid w:val="009834DC"/>
    <w:rsid w:val="00985631"/>
    <w:rsid w:val="00987443"/>
    <w:rsid w:val="00991554"/>
    <w:rsid w:val="009925D7"/>
    <w:rsid w:val="00993838"/>
    <w:rsid w:val="0099581D"/>
    <w:rsid w:val="009A6C3F"/>
    <w:rsid w:val="009A79B5"/>
    <w:rsid w:val="009B22B9"/>
    <w:rsid w:val="009B6BCF"/>
    <w:rsid w:val="009B705E"/>
    <w:rsid w:val="009C1F74"/>
    <w:rsid w:val="009C2832"/>
    <w:rsid w:val="009C58AB"/>
    <w:rsid w:val="009C69F2"/>
    <w:rsid w:val="009D0AF8"/>
    <w:rsid w:val="009D3D17"/>
    <w:rsid w:val="009D5FC8"/>
    <w:rsid w:val="009E62C1"/>
    <w:rsid w:val="009E650A"/>
    <w:rsid w:val="009F0017"/>
    <w:rsid w:val="009F0DC3"/>
    <w:rsid w:val="009F1299"/>
    <w:rsid w:val="009F2D5C"/>
    <w:rsid w:val="009F7B1D"/>
    <w:rsid w:val="00A01A47"/>
    <w:rsid w:val="00A11202"/>
    <w:rsid w:val="00A142D0"/>
    <w:rsid w:val="00A16475"/>
    <w:rsid w:val="00A1663C"/>
    <w:rsid w:val="00A255DB"/>
    <w:rsid w:val="00A321DE"/>
    <w:rsid w:val="00A37F68"/>
    <w:rsid w:val="00A43A9D"/>
    <w:rsid w:val="00A45AD1"/>
    <w:rsid w:val="00A505C6"/>
    <w:rsid w:val="00A5148A"/>
    <w:rsid w:val="00A5362A"/>
    <w:rsid w:val="00A54CF2"/>
    <w:rsid w:val="00A55014"/>
    <w:rsid w:val="00A6560A"/>
    <w:rsid w:val="00A65A96"/>
    <w:rsid w:val="00A74114"/>
    <w:rsid w:val="00A82FC2"/>
    <w:rsid w:val="00A85F3D"/>
    <w:rsid w:val="00A85FBA"/>
    <w:rsid w:val="00A91F33"/>
    <w:rsid w:val="00A96451"/>
    <w:rsid w:val="00AA40F6"/>
    <w:rsid w:val="00AB4675"/>
    <w:rsid w:val="00AB56DF"/>
    <w:rsid w:val="00AB5FEA"/>
    <w:rsid w:val="00AB6906"/>
    <w:rsid w:val="00AB730D"/>
    <w:rsid w:val="00AC1197"/>
    <w:rsid w:val="00AC25EF"/>
    <w:rsid w:val="00AC5305"/>
    <w:rsid w:val="00AC546F"/>
    <w:rsid w:val="00AC71E2"/>
    <w:rsid w:val="00AC79AD"/>
    <w:rsid w:val="00AD258D"/>
    <w:rsid w:val="00AD2A02"/>
    <w:rsid w:val="00AD61E7"/>
    <w:rsid w:val="00AE0813"/>
    <w:rsid w:val="00AE3D2D"/>
    <w:rsid w:val="00AE6F3B"/>
    <w:rsid w:val="00AF5562"/>
    <w:rsid w:val="00AF6508"/>
    <w:rsid w:val="00AF6C50"/>
    <w:rsid w:val="00AF7D0E"/>
    <w:rsid w:val="00B02D14"/>
    <w:rsid w:val="00B03617"/>
    <w:rsid w:val="00B03634"/>
    <w:rsid w:val="00B06CDF"/>
    <w:rsid w:val="00B1476E"/>
    <w:rsid w:val="00B14900"/>
    <w:rsid w:val="00B14A29"/>
    <w:rsid w:val="00B219BF"/>
    <w:rsid w:val="00B3070F"/>
    <w:rsid w:val="00B3323A"/>
    <w:rsid w:val="00B40F3D"/>
    <w:rsid w:val="00B44915"/>
    <w:rsid w:val="00B465E7"/>
    <w:rsid w:val="00B476D1"/>
    <w:rsid w:val="00B60136"/>
    <w:rsid w:val="00B61216"/>
    <w:rsid w:val="00B6145F"/>
    <w:rsid w:val="00B635D9"/>
    <w:rsid w:val="00B74F74"/>
    <w:rsid w:val="00B75199"/>
    <w:rsid w:val="00B859D2"/>
    <w:rsid w:val="00B86BE2"/>
    <w:rsid w:val="00B948C4"/>
    <w:rsid w:val="00B94F8D"/>
    <w:rsid w:val="00B9515A"/>
    <w:rsid w:val="00BA39F7"/>
    <w:rsid w:val="00BA3CFF"/>
    <w:rsid w:val="00BA3D89"/>
    <w:rsid w:val="00BB1A05"/>
    <w:rsid w:val="00BB24A6"/>
    <w:rsid w:val="00BB2B6D"/>
    <w:rsid w:val="00BC10B6"/>
    <w:rsid w:val="00BC1757"/>
    <w:rsid w:val="00BC32EE"/>
    <w:rsid w:val="00BC5760"/>
    <w:rsid w:val="00BC5D24"/>
    <w:rsid w:val="00BD0855"/>
    <w:rsid w:val="00BD4C43"/>
    <w:rsid w:val="00BD69FE"/>
    <w:rsid w:val="00BD730A"/>
    <w:rsid w:val="00BE0012"/>
    <w:rsid w:val="00BE145E"/>
    <w:rsid w:val="00BE3870"/>
    <w:rsid w:val="00C0138B"/>
    <w:rsid w:val="00C015BA"/>
    <w:rsid w:val="00C0435E"/>
    <w:rsid w:val="00C10572"/>
    <w:rsid w:val="00C11394"/>
    <w:rsid w:val="00C122FC"/>
    <w:rsid w:val="00C208AE"/>
    <w:rsid w:val="00C20924"/>
    <w:rsid w:val="00C210AD"/>
    <w:rsid w:val="00C25666"/>
    <w:rsid w:val="00C26E45"/>
    <w:rsid w:val="00C27055"/>
    <w:rsid w:val="00C37747"/>
    <w:rsid w:val="00C45BD8"/>
    <w:rsid w:val="00C52D2E"/>
    <w:rsid w:val="00C56F8E"/>
    <w:rsid w:val="00C65C5A"/>
    <w:rsid w:val="00C70E5A"/>
    <w:rsid w:val="00C8630B"/>
    <w:rsid w:val="00C869AD"/>
    <w:rsid w:val="00CA2BD3"/>
    <w:rsid w:val="00CA5822"/>
    <w:rsid w:val="00CA76EE"/>
    <w:rsid w:val="00CB0F06"/>
    <w:rsid w:val="00CC0E18"/>
    <w:rsid w:val="00CC0FF9"/>
    <w:rsid w:val="00CC3A12"/>
    <w:rsid w:val="00CC3FDE"/>
    <w:rsid w:val="00CC486E"/>
    <w:rsid w:val="00CC66BB"/>
    <w:rsid w:val="00CC6986"/>
    <w:rsid w:val="00CE1CBF"/>
    <w:rsid w:val="00CE76CD"/>
    <w:rsid w:val="00CF128E"/>
    <w:rsid w:val="00CF1E7E"/>
    <w:rsid w:val="00CF1E95"/>
    <w:rsid w:val="00CF469A"/>
    <w:rsid w:val="00D0133B"/>
    <w:rsid w:val="00D0197B"/>
    <w:rsid w:val="00D13FBC"/>
    <w:rsid w:val="00D141CE"/>
    <w:rsid w:val="00D159B2"/>
    <w:rsid w:val="00D162ED"/>
    <w:rsid w:val="00D2518B"/>
    <w:rsid w:val="00D252AC"/>
    <w:rsid w:val="00D2747C"/>
    <w:rsid w:val="00D32FB4"/>
    <w:rsid w:val="00D34458"/>
    <w:rsid w:val="00D36CCD"/>
    <w:rsid w:val="00D36EA9"/>
    <w:rsid w:val="00D37DBE"/>
    <w:rsid w:val="00D37F12"/>
    <w:rsid w:val="00D40849"/>
    <w:rsid w:val="00D42D04"/>
    <w:rsid w:val="00D50438"/>
    <w:rsid w:val="00D50C91"/>
    <w:rsid w:val="00D51567"/>
    <w:rsid w:val="00D64321"/>
    <w:rsid w:val="00D669EC"/>
    <w:rsid w:val="00D678DB"/>
    <w:rsid w:val="00D67F87"/>
    <w:rsid w:val="00D73E4E"/>
    <w:rsid w:val="00D779CC"/>
    <w:rsid w:val="00D815A6"/>
    <w:rsid w:val="00D820DD"/>
    <w:rsid w:val="00D87A86"/>
    <w:rsid w:val="00D90E9B"/>
    <w:rsid w:val="00D9169C"/>
    <w:rsid w:val="00D92C79"/>
    <w:rsid w:val="00D93B9C"/>
    <w:rsid w:val="00D954A4"/>
    <w:rsid w:val="00DA1F1D"/>
    <w:rsid w:val="00DB2934"/>
    <w:rsid w:val="00DB2EEA"/>
    <w:rsid w:val="00DC540E"/>
    <w:rsid w:val="00DD0FB1"/>
    <w:rsid w:val="00DD440B"/>
    <w:rsid w:val="00DE2B1F"/>
    <w:rsid w:val="00DE3925"/>
    <w:rsid w:val="00DE3F3D"/>
    <w:rsid w:val="00DE4EFC"/>
    <w:rsid w:val="00DE5FDB"/>
    <w:rsid w:val="00DE68B0"/>
    <w:rsid w:val="00DE6F1C"/>
    <w:rsid w:val="00DF1289"/>
    <w:rsid w:val="00DF1732"/>
    <w:rsid w:val="00DF3D8E"/>
    <w:rsid w:val="00E013E0"/>
    <w:rsid w:val="00E03231"/>
    <w:rsid w:val="00E05325"/>
    <w:rsid w:val="00E0635E"/>
    <w:rsid w:val="00E07D00"/>
    <w:rsid w:val="00E10484"/>
    <w:rsid w:val="00E10B3E"/>
    <w:rsid w:val="00E10C52"/>
    <w:rsid w:val="00E11238"/>
    <w:rsid w:val="00E11EC2"/>
    <w:rsid w:val="00E14C6E"/>
    <w:rsid w:val="00E20C73"/>
    <w:rsid w:val="00E214AA"/>
    <w:rsid w:val="00E238E7"/>
    <w:rsid w:val="00E23F6D"/>
    <w:rsid w:val="00E2411C"/>
    <w:rsid w:val="00E25F73"/>
    <w:rsid w:val="00E2788C"/>
    <w:rsid w:val="00E3314D"/>
    <w:rsid w:val="00E332BA"/>
    <w:rsid w:val="00E424BD"/>
    <w:rsid w:val="00E42DA3"/>
    <w:rsid w:val="00E457E2"/>
    <w:rsid w:val="00E47DFA"/>
    <w:rsid w:val="00E52809"/>
    <w:rsid w:val="00E5348A"/>
    <w:rsid w:val="00E540A0"/>
    <w:rsid w:val="00E54C1B"/>
    <w:rsid w:val="00E568D8"/>
    <w:rsid w:val="00E60F0C"/>
    <w:rsid w:val="00E624D5"/>
    <w:rsid w:val="00E7363D"/>
    <w:rsid w:val="00E73A19"/>
    <w:rsid w:val="00E7534C"/>
    <w:rsid w:val="00E90AE2"/>
    <w:rsid w:val="00E911DD"/>
    <w:rsid w:val="00E91C1A"/>
    <w:rsid w:val="00E91D4A"/>
    <w:rsid w:val="00E97D8E"/>
    <w:rsid w:val="00EA32B4"/>
    <w:rsid w:val="00EA3A4E"/>
    <w:rsid w:val="00EA3E0F"/>
    <w:rsid w:val="00EB0779"/>
    <w:rsid w:val="00EB350B"/>
    <w:rsid w:val="00EB50C1"/>
    <w:rsid w:val="00EB6095"/>
    <w:rsid w:val="00EC5307"/>
    <w:rsid w:val="00ED10DA"/>
    <w:rsid w:val="00ED6664"/>
    <w:rsid w:val="00EE2735"/>
    <w:rsid w:val="00EE5157"/>
    <w:rsid w:val="00EE7953"/>
    <w:rsid w:val="00EE7A8C"/>
    <w:rsid w:val="00EF0708"/>
    <w:rsid w:val="00EF3164"/>
    <w:rsid w:val="00EF3171"/>
    <w:rsid w:val="00EF45A7"/>
    <w:rsid w:val="00EF4877"/>
    <w:rsid w:val="00EF4B9B"/>
    <w:rsid w:val="00F02208"/>
    <w:rsid w:val="00F11785"/>
    <w:rsid w:val="00F12436"/>
    <w:rsid w:val="00F24061"/>
    <w:rsid w:val="00F241B1"/>
    <w:rsid w:val="00F278AC"/>
    <w:rsid w:val="00F322C6"/>
    <w:rsid w:val="00F33D29"/>
    <w:rsid w:val="00F35D6B"/>
    <w:rsid w:val="00F44014"/>
    <w:rsid w:val="00F559BE"/>
    <w:rsid w:val="00F6661D"/>
    <w:rsid w:val="00F72E87"/>
    <w:rsid w:val="00F90C59"/>
    <w:rsid w:val="00F913EC"/>
    <w:rsid w:val="00FA392F"/>
    <w:rsid w:val="00FA570A"/>
    <w:rsid w:val="00FA5A15"/>
    <w:rsid w:val="00FB22B6"/>
    <w:rsid w:val="00FB419E"/>
    <w:rsid w:val="00FB55B3"/>
    <w:rsid w:val="00FC773A"/>
    <w:rsid w:val="00FD1206"/>
    <w:rsid w:val="00FD408D"/>
    <w:rsid w:val="00FD669E"/>
    <w:rsid w:val="00FE1D87"/>
    <w:rsid w:val="00FE2F1D"/>
    <w:rsid w:val="00FF1C94"/>
    <w:rsid w:val="00FF445E"/>
    <w:rsid w:val="00FF5DA9"/>
    <w:rsid w:val="00FF76D7"/>
    <w:rsid w:val="00FF797F"/>
    <w:rsid w:val="02E73211"/>
    <w:rsid w:val="1EB93D62"/>
    <w:rsid w:val="24763D61"/>
    <w:rsid w:val="273B69DE"/>
    <w:rsid w:val="2B116592"/>
    <w:rsid w:val="2B465C04"/>
    <w:rsid w:val="2F9915F8"/>
    <w:rsid w:val="33891CF7"/>
    <w:rsid w:val="34AF782F"/>
    <w:rsid w:val="3B6F2F50"/>
    <w:rsid w:val="3C254B95"/>
    <w:rsid w:val="3D191CD8"/>
    <w:rsid w:val="400E3767"/>
    <w:rsid w:val="434C1998"/>
    <w:rsid w:val="44ED5025"/>
    <w:rsid w:val="4C7920DC"/>
    <w:rsid w:val="4D1A70D0"/>
    <w:rsid w:val="4E686874"/>
    <w:rsid w:val="50044B59"/>
    <w:rsid w:val="532076DA"/>
    <w:rsid w:val="53605111"/>
    <w:rsid w:val="55A64D15"/>
    <w:rsid w:val="59A12560"/>
    <w:rsid w:val="5B76165D"/>
    <w:rsid w:val="617B738A"/>
    <w:rsid w:val="6CA17341"/>
    <w:rsid w:val="6FC20AE3"/>
    <w:rsid w:val="7316584D"/>
    <w:rsid w:val="ED7FB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ocked="1"/>
    <w:lsdException w:uiPriority="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ocked="1"/>
    <w:lsdException w:qFormat="1" w:unhideWhenUsed="0" w:uiPriority="0" w:semiHidden="0" w:name="Emphasis" w:locked="1"/>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widowControl/>
      <w:spacing w:before="100" w:beforeAutospacing="1" w:after="100" w:afterAutospacing="1"/>
      <w:jc w:val="left"/>
      <w:outlineLvl w:val="0"/>
    </w:pPr>
    <w:rPr>
      <w:rFonts w:ascii="宋体" w:hAnsi="宋体" w:cs="宋体"/>
      <w:b/>
      <w:bCs/>
      <w:kern w:val="36"/>
      <w:sz w:val="48"/>
      <w:szCs w:val="48"/>
    </w:rPr>
  </w:style>
  <w:style w:type="character" w:default="1" w:styleId="13">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21"/>
    <w:semiHidden/>
    <w:qFormat/>
    <w:uiPriority w:val="0"/>
    <w:pPr>
      <w:shd w:val="clear" w:color="auto" w:fill="000080"/>
    </w:pPr>
  </w:style>
  <w:style w:type="paragraph" w:styleId="4">
    <w:name w:val="Body Text"/>
    <w:basedOn w:val="1"/>
    <w:qFormat/>
    <w:uiPriority w:val="0"/>
    <w:pPr>
      <w:jc w:val="center"/>
    </w:pPr>
    <w:rPr>
      <w:rFonts w:ascii="仿宋_GB2312" w:hAnsi="仿宋_GB2312" w:eastAsia="黑体"/>
    </w:rPr>
  </w:style>
  <w:style w:type="paragraph" w:styleId="5">
    <w:name w:val="Body Text Indent"/>
    <w:basedOn w:val="1"/>
    <w:link w:val="18"/>
    <w:qFormat/>
    <w:uiPriority w:val="0"/>
    <w:pPr>
      <w:spacing w:line="360" w:lineRule="auto"/>
      <w:ind w:left="360"/>
    </w:pPr>
    <w:rPr>
      <w:sz w:val="24"/>
    </w:rPr>
  </w:style>
  <w:style w:type="paragraph" w:styleId="6">
    <w:name w:val="Body Text Indent 2"/>
    <w:basedOn w:val="1"/>
    <w:link w:val="19"/>
    <w:qFormat/>
    <w:uiPriority w:val="0"/>
    <w:pPr>
      <w:ind w:firstLine="636" w:firstLineChars="227"/>
    </w:pPr>
    <w:rPr>
      <w:sz w:val="28"/>
    </w:rPr>
  </w:style>
  <w:style w:type="paragraph" w:styleId="7">
    <w:name w:val="Balloon Text"/>
    <w:basedOn w:val="1"/>
    <w:link w:val="22"/>
    <w:semiHidden/>
    <w:qFormat/>
    <w:uiPriority w:val="0"/>
    <w:rPr>
      <w:sz w:val="18"/>
      <w:szCs w:val="18"/>
    </w:rPr>
  </w:style>
  <w:style w:type="paragraph" w:styleId="8">
    <w:name w:val="footer"/>
    <w:basedOn w:val="1"/>
    <w:link w:val="23"/>
    <w:qFormat/>
    <w:uiPriority w:val="0"/>
    <w:pPr>
      <w:tabs>
        <w:tab w:val="center" w:pos="4153"/>
        <w:tab w:val="right" w:pos="8306"/>
      </w:tabs>
      <w:snapToGrid w:val="0"/>
      <w:jc w:val="left"/>
    </w:pPr>
    <w:rPr>
      <w:sz w:val="18"/>
      <w:szCs w:val="18"/>
    </w:rPr>
  </w:style>
  <w:style w:type="paragraph" w:styleId="9">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Indent 3"/>
    <w:basedOn w:val="1"/>
    <w:link w:val="20"/>
    <w:qFormat/>
    <w:uiPriority w:val="0"/>
    <w:pPr>
      <w:ind w:left="-250" w:leftChars="-250" w:firstLine="560" w:firstLineChars="200"/>
    </w:pPr>
    <w:rPr>
      <w:rFonts w:eastAsia="仿宋_GB2312"/>
      <w:sz w:val="28"/>
    </w:rPr>
  </w:style>
  <w:style w:type="paragraph" w:styleId="11">
    <w:name w:val="Body Text First Indent"/>
    <w:basedOn w:val="4"/>
    <w:qFormat/>
    <w:uiPriority w:val="0"/>
    <w:pPr>
      <w:spacing w:line="560" w:lineRule="exact"/>
      <w:ind w:firstLine="721" w:firstLineChars="200"/>
    </w:pPr>
    <w:rPr>
      <w:rFonts w:ascii="Calibri"/>
    </w:rPr>
  </w:style>
  <w:style w:type="character" w:styleId="14">
    <w:name w:val="page number"/>
    <w:basedOn w:val="13"/>
    <w:qFormat/>
    <w:uiPriority w:val="0"/>
    <w:rPr>
      <w:rFonts w:cs="Times New Roman"/>
    </w:rPr>
  </w:style>
  <w:style w:type="character" w:styleId="15">
    <w:name w:val="Hyperlink"/>
    <w:basedOn w:val="13"/>
    <w:qFormat/>
    <w:uiPriority w:val="0"/>
    <w:rPr>
      <w:rFonts w:cs="Times New Roman"/>
      <w:color w:val="0000FF"/>
      <w:u w:val="single"/>
    </w:rPr>
  </w:style>
  <w:style w:type="character" w:customStyle="1" w:styleId="16">
    <w:name w:val="标题 1 字符"/>
    <w:basedOn w:val="13"/>
    <w:link w:val="2"/>
    <w:qFormat/>
    <w:locked/>
    <w:uiPriority w:val="0"/>
    <w:rPr>
      <w:rFonts w:cs="Times New Roman"/>
      <w:b/>
      <w:bCs/>
      <w:kern w:val="44"/>
      <w:sz w:val="44"/>
      <w:szCs w:val="44"/>
    </w:rPr>
  </w:style>
  <w:style w:type="character" w:customStyle="1" w:styleId="17">
    <w:name w:val="black000"/>
    <w:basedOn w:val="13"/>
    <w:qFormat/>
    <w:uiPriority w:val="0"/>
    <w:rPr>
      <w:rFonts w:cs="Times New Roman"/>
    </w:rPr>
  </w:style>
  <w:style w:type="character" w:customStyle="1" w:styleId="18">
    <w:name w:val="正文文本缩进 字符"/>
    <w:basedOn w:val="13"/>
    <w:link w:val="5"/>
    <w:semiHidden/>
    <w:qFormat/>
    <w:locked/>
    <w:uiPriority w:val="0"/>
    <w:rPr>
      <w:rFonts w:cs="Times New Roman"/>
      <w:sz w:val="24"/>
      <w:szCs w:val="24"/>
    </w:rPr>
  </w:style>
  <w:style w:type="character" w:customStyle="1" w:styleId="19">
    <w:name w:val="正文文本缩进 2 字符"/>
    <w:basedOn w:val="13"/>
    <w:link w:val="6"/>
    <w:semiHidden/>
    <w:qFormat/>
    <w:locked/>
    <w:uiPriority w:val="0"/>
    <w:rPr>
      <w:rFonts w:cs="Times New Roman"/>
      <w:sz w:val="24"/>
      <w:szCs w:val="24"/>
    </w:rPr>
  </w:style>
  <w:style w:type="character" w:customStyle="1" w:styleId="20">
    <w:name w:val="正文文本缩进 3 字符"/>
    <w:basedOn w:val="13"/>
    <w:link w:val="10"/>
    <w:semiHidden/>
    <w:qFormat/>
    <w:locked/>
    <w:uiPriority w:val="0"/>
    <w:rPr>
      <w:rFonts w:cs="Times New Roman"/>
      <w:sz w:val="16"/>
      <w:szCs w:val="16"/>
    </w:rPr>
  </w:style>
  <w:style w:type="character" w:customStyle="1" w:styleId="21">
    <w:name w:val="文档结构图 字符"/>
    <w:basedOn w:val="13"/>
    <w:link w:val="3"/>
    <w:semiHidden/>
    <w:qFormat/>
    <w:locked/>
    <w:uiPriority w:val="0"/>
    <w:rPr>
      <w:rFonts w:cs="Times New Roman"/>
      <w:sz w:val="2"/>
    </w:rPr>
  </w:style>
  <w:style w:type="character" w:customStyle="1" w:styleId="22">
    <w:name w:val="批注框文本 字符"/>
    <w:basedOn w:val="13"/>
    <w:link w:val="7"/>
    <w:semiHidden/>
    <w:qFormat/>
    <w:locked/>
    <w:uiPriority w:val="0"/>
    <w:rPr>
      <w:rFonts w:cs="Times New Roman"/>
      <w:sz w:val="2"/>
    </w:rPr>
  </w:style>
  <w:style w:type="character" w:customStyle="1" w:styleId="23">
    <w:name w:val="页脚 字符"/>
    <w:basedOn w:val="13"/>
    <w:link w:val="8"/>
    <w:semiHidden/>
    <w:qFormat/>
    <w:locked/>
    <w:uiPriority w:val="0"/>
    <w:rPr>
      <w:rFonts w:cs="Times New Roman"/>
      <w:sz w:val="18"/>
      <w:szCs w:val="18"/>
    </w:rPr>
  </w:style>
  <w:style w:type="character" w:customStyle="1" w:styleId="24">
    <w:name w:val="页眉 字符"/>
    <w:basedOn w:val="13"/>
    <w:link w:val="9"/>
    <w:qFormat/>
    <w:locked/>
    <w:uiPriority w:val="0"/>
    <w:rPr>
      <w:rFonts w:cs="Times New Roman"/>
      <w:kern w:val="2"/>
      <w:sz w:val="18"/>
    </w:rPr>
  </w:style>
  <w:style w:type="paragraph" w:customStyle="1" w:styleId="25">
    <w:name w:val="List Paragraph1"/>
    <w:basedOn w:val="1"/>
    <w:qFormat/>
    <w:uiPriority w:val="0"/>
    <w:pPr>
      <w:ind w:firstLine="420" w:firstLineChars="200"/>
    </w:pPr>
  </w:style>
  <w:style w:type="paragraph" w:customStyle="1" w:styleId="26">
    <w:name w:val="Char Char Char Char"/>
    <w:basedOn w:val="1"/>
    <w:qFormat/>
    <w:uiPriority w:val="0"/>
    <w:rPr>
      <w:szCs w:val="20"/>
    </w:rPr>
  </w:style>
  <w:style w:type="character" w:customStyle="1" w:styleId="27">
    <w:name w:val="apple-converted-space"/>
    <w:basedOn w:val="13"/>
    <w:qFormat/>
    <w:uiPriority w:val="0"/>
    <w:rPr>
      <w:rFonts w:cs="Times New Roman"/>
    </w:rPr>
  </w:style>
  <w:style w:type="paragraph" w:customStyle="1" w:styleId="28">
    <w:name w:val="列出段落1"/>
    <w:basedOn w:val="1"/>
    <w:qFormat/>
    <w:uiPriority w:val="0"/>
    <w:pPr>
      <w:ind w:firstLine="420" w:firstLineChars="200"/>
    </w:pPr>
    <w:rPr>
      <w:rFonts w:ascii="Calibri" w:hAnsi="Calibri"/>
      <w:szCs w:val="22"/>
    </w:rPr>
  </w:style>
  <w:style w:type="paragraph" w:styleId="2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2698</Words>
  <Characters>2752</Characters>
  <Lines>39</Lines>
  <Paragraphs>11</Paragraphs>
  <TotalTime>1</TotalTime>
  <ScaleCrop>false</ScaleCrop>
  <LinksUpToDate>false</LinksUpToDate>
  <CharactersWithSpaces>2772</CharactersWithSpaces>
  <Application>WPS Office_11.8.2.11818_F1E327BC-269C-435d-A152-05C5408002CA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2026-03-06T22:22:00Z</dcterms:created>
  <dc:creator>han_s</dc:creator>
  <cp:lastModifiedBy>admin</cp:lastModifiedBy>
  <cp:lastPrinted>2014-06-02T06:37:00Z</cp:lastPrinted>
  <dcterms:modified xsi:type="dcterms:W3CDTF">2026-07-02T10:18:51Z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2052-11.8.2.11818</vt:lpwstr>
  </property>
  <property fmtid="{D5CDD505-2E9C-101B-9397-08002B2CF9AE}" pid="3" name="ICV">
    <vt:lpwstr>1900DE2D02B149D3BEFF632607D1CEFF</vt:lpwstr>
  </property>
  <property fmtid="{D5CDD505-2E9C-101B-9397-08002B2CF9AE}" pid="4" name="KSOTemplateDocerSaveRecord">
    <vt:lpwstr>eyJoZGlkIjoiMTUwYTY0MGM3ZjczMTVkYjQ5ZTc3MzI4MmY2ZTUzMTIiLCJ1c2VySWQiOiIzOTU4MjY3NDQifQ==</vt:lpwstr>
  </property>
</Properties>
</file>