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tLeast"/>
        <w:ind w:right="360"/>
        <w:jc w:val="center"/>
        <w:rPr>
          <w:rFonts w:hint="eastAsia" w:ascii="宋体" w:hAnsi="宋体" w:cs="Tahoma"/>
          <w:b/>
          <w:bCs/>
          <w:kern w:val="0"/>
          <w:sz w:val="36"/>
          <w:szCs w:val="36"/>
        </w:rPr>
      </w:pPr>
      <w:r>
        <w:rPr>
          <w:rFonts w:hint="eastAsia" w:ascii="宋体" w:hAnsi="宋体" w:cs="Tahoma"/>
          <w:b/>
          <w:bCs/>
          <w:kern w:val="0"/>
          <w:sz w:val="36"/>
          <w:szCs w:val="36"/>
        </w:rPr>
        <w:t>招 标 公 告</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tLeast"/>
        <w:ind w:right="360"/>
        <w:jc w:val="center"/>
        <w:rPr>
          <w:rFonts w:ascii="Tahoma" w:hAnsi="Tahoma" w:cs="Tahoma"/>
          <w:color w:val="666666"/>
          <w:kern w:val="0"/>
          <w:sz w:val="18"/>
          <w:szCs w:val="18"/>
        </w:rPr>
      </w:pPr>
      <w:r>
        <w:rPr>
          <w:rFonts w:hint="eastAsia" w:ascii="宋体" w:hAnsi="宋体" w:cs="Tahoma"/>
          <w:b/>
          <w:bCs/>
          <w:kern w:val="0"/>
          <w:sz w:val="36"/>
          <w:szCs w:val="36"/>
        </w:rPr>
        <w:t>Pengumuman tender</w:t>
      </w:r>
    </w:p>
    <w:p>
      <w:pPr>
        <w:keepNext w:val="0"/>
        <w:keepLines w:val="0"/>
        <w:pageBreakBefore w:val="0"/>
        <w:numPr>
          <w:ilvl w:val="0"/>
          <w:numId w:val="3"/>
        </w:numPr>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招标编号：</w:t>
      </w:r>
      <w:r>
        <w:rPr>
          <w:rFonts w:hint="eastAsia" w:ascii="仿宋_GB2312" w:hAnsi="仿宋_GB2312" w:eastAsia="仿宋_GB2312" w:cs="仿宋_GB2312"/>
          <w:sz w:val="28"/>
          <w:szCs w:val="28"/>
          <w:lang w:eastAsia="zh-CN"/>
        </w:rPr>
        <w:t>SGS-YNAMTXKCXM-2025-W016-HW</w:t>
      </w:r>
    </w:p>
    <w:p>
      <w:pPr>
        <w:keepNext w:val="0"/>
        <w:keepLines w:val="0"/>
        <w:pageBreakBefore w:val="0"/>
        <w:kinsoku/>
        <w:wordWrap/>
        <w:overflowPunct/>
        <w:topLinePunct w:val="0"/>
        <w:autoSpaceDE/>
        <w:autoSpaceDN/>
        <w:bidi w:val="0"/>
        <w:adjustRightInd/>
        <w:snapToGrid/>
        <w:spacing w:after="157" w:afterLines="50" w:line="240" w:lineRule="atLeast"/>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Nomor tender：</w:t>
      </w:r>
      <w:r>
        <w:rPr>
          <w:rFonts w:hint="eastAsia" w:ascii="仿宋_GB2312" w:hAnsi="仿宋_GB2312" w:eastAsia="仿宋_GB2312" w:cs="仿宋_GB2312"/>
          <w:sz w:val="28"/>
          <w:szCs w:val="28"/>
          <w:lang w:eastAsia="zh-CN"/>
        </w:rPr>
        <w:t>SGS-YNAMTXKCXM-2025-W016-HW</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2.招标名称：十五冶建筑工程（印尼）有限公司阿曼铜选矿厂项目</w:t>
      </w:r>
      <w:r>
        <w:rPr>
          <w:rFonts w:hint="eastAsia" w:ascii="仿宋_GB2312" w:hAnsi="仿宋_GB2312" w:eastAsia="仿宋_GB2312" w:cs="仿宋_GB2312"/>
          <w:b/>
          <w:bCs/>
          <w:sz w:val="28"/>
          <w:szCs w:val="28"/>
          <w:u w:val="single"/>
          <w:lang w:val="en-US" w:eastAsia="zh-CN"/>
        </w:rPr>
        <w:t>泵、劳保用品等材料</w:t>
      </w:r>
      <w:r>
        <w:rPr>
          <w:rFonts w:hint="eastAsia" w:ascii="仿宋_GB2312" w:hAnsi="仿宋_GB2312" w:eastAsia="仿宋_GB2312" w:cs="仿宋_GB2312"/>
          <w:sz w:val="28"/>
          <w:szCs w:val="28"/>
        </w:rPr>
        <w:t>物资采购招标</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Nama tender：PT.MCC15 ENGINEERING AND CONSTRUCTION XUANKUANG Project Departemen Pengadaan </w:t>
      </w:r>
      <w:r>
        <w:rPr>
          <w:rFonts w:hint="eastAsia" w:ascii="仿宋_GB2312" w:hAnsi="仿宋_GB2312" w:eastAsia="仿宋_GB2312" w:cs="仿宋_GB2312"/>
          <w:b/>
          <w:bCs/>
          <w:sz w:val="28"/>
          <w:szCs w:val="28"/>
          <w:u w:val="single"/>
          <w:lang w:eastAsia="zh-CN"/>
        </w:rPr>
        <w:t>Pompa, Perlengkapan Perlindungan Tenaga Kerja Dan Bahan Lainnya</w:t>
      </w:r>
      <w:r>
        <w:rPr>
          <w:rFonts w:hint="eastAsia" w:ascii="仿宋_GB2312" w:hAnsi="仿宋_GB2312" w:eastAsia="仿宋_GB2312" w:cs="仿宋_GB2312"/>
          <w:sz w:val="28"/>
          <w:szCs w:val="28"/>
        </w:rPr>
        <w:t xml:space="preserve"> Peralatan Dokumen </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项目概况Tinjauan Proyek：</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工程名称：十五冶建筑工程（印尼）有限公司阿曼铜选矿厂扩建工程。</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Nama proyek：PT.MCC15 ENGINEERING AND CONSTRUCTION XUANKUANG</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P</w:t>
      </w:r>
      <w:r>
        <w:rPr>
          <w:rFonts w:hint="eastAsia" w:ascii="仿宋_GB2312" w:hAnsi="仿宋_GB2312" w:eastAsia="仿宋_GB2312" w:cs="仿宋_GB2312"/>
          <w:sz w:val="28"/>
          <w:szCs w:val="28"/>
          <w:lang w:val="en-US" w:eastAsia="zh-CN"/>
        </w:rPr>
        <w:t>ROJECT</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工程地点：巴都希贾乌矿位于西努沙登加拉省的印尼松巴哇岛，距离印尼雅加达东部约1530公里。松巴哇岛位于龙目岛的正东面，而龙目岛又位于巴厘岛主要地区城市登巴萨的正东面。</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Lokasi proyek：Tambang Batu Hijau terletak di pulau Sumbawa di Provinsi Nusa Tenggara Barat, sekitar 1.530 kilometer sebelah timur Jakarta, Indonesia.Pulau Sumba terletak di sebelah timur pulau Lombok, dan pulau Lombok sendiri terletak di sebelah timur kota utama Bali, Denpasar.</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置条件：巴都希贾乌矿区地表特征为富含金的斑岩铜矿床，由闪长岩和石英闪长岩火成岩复合体组成。矿址的地形崎岖不平，由山谷边坡和有锯齿状边缘的小溪组成，角度在30°至45°之间变化。该矿位于西海岸15公里，南海岸10公里，内陆约6公里，距离本尼特港18公里，海拔120米至600米之间。矿址周围为原始雨林覆盖，地形崎岖不平。该岛降雨量大，被归类为UBC 3地震带。</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Kondisi lokasi:Permukaan tambang Batu Hijau ditandai dengan endapan tembaga porfiri kaya emas yang terdiri dari kompleks beku diorit dan diorit kuarsa.Medan lokasi tambang terjal, terdiri dari lereng lembah dan anak sungai dengan tepi bergerigi, bervariasi sudutnya antara 30° dan 45°.Tambang ini terletak 15 kilometer di pantai barat,10 kilometer di pantai selatan, sekitar 6 kilometer ke pedalaman dan 18 kilometer dari Port Bennett pada ketinggian antara 120 dan 600 meter</w:t>
      </w:r>
      <w:r>
        <w:rPr>
          <w:rFonts w:hint="eastAsia" w:ascii="仿宋_GB2312" w:hAnsi="仿宋_GB2312" w:eastAsia="仿宋_GB2312" w:cs="仿宋_GB2312"/>
          <w:sz w:val="28"/>
          <w:szCs w:val="28"/>
          <w:lang w:val="en-US" w:eastAsia="zh-CN"/>
        </w:rPr>
        <w:t>.Lokasi tambang dikelilingi oleh hutan hujan perawan dan medannya terjal. Pulau ini menerima curah hujan lebat dan  diklasifikasikan  sebagai zona seismik UBC 3.</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0" w:leftChars="0" w:firstLine="0" w:firstLineChars="0"/>
        <w:rPr>
          <w:rFonts w:hint="default"/>
          <w:lang w:val="en-US" w:eastAsia="zh-CN"/>
        </w:rPr>
      </w:pPr>
      <w:r>
        <w:rPr>
          <w:rFonts w:hint="eastAsia" w:ascii="仿宋_GB2312" w:hAnsi="仿宋_GB2312" w:eastAsia="仿宋_GB2312" w:cs="仿宋_GB2312"/>
          <w:sz w:val="28"/>
          <w:szCs w:val="28"/>
        </w:rPr>
        <w:t>地理条件气候环境：该地区的气候特点是有两个不同的季风季节。雨季从11月到次年3月，有来自西部/西北的季风，旱季从5月到9月，有来自东部/东南的季风。雨季和旱季之间的过渡发生在4月和10月。场地经历明显的雨季和旱季。该地区的内陆地区年降雨量远高于沿海地区，约85%的年降雨量发生在雨季。矿山和选矿厂位于内陆，降雨量较高，而现场全年日间温度都很高，最热的时间是9月至11月。</w:t>
      </w:r>
    </w:p>
    <w:p>
      <w:pPr>
        <w:keepNext w:val="0"/>
        <w:keepLines w:val="0"/>
        <w:pageBreakBefore w:val="0"/>
        <w:kinsoku/>
        <w:wordWrap/>
        <w:overflowPunct/>
        <w:topLinePunct w:val="0"/>
        <w:autoSpaceDE/>
        <w:autoSpaceDN/>
        <w:bidi w:val="0"/>
        <w:adjustRightInd/>
        <w:snapToGrid/>
        <w:spacing w:after="157" w:afterLines="50" w:line="240" w:lineRule="atLeas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Kondisi geografis dan lingkungan iklim</w:t>
      </w:r>
      <w:r>
        <w:rPr>
          <w:rFonts w:hint="eastAsia" w:ascii="仿宋_GB2312" w:hAnsi="仿宋_GB2312" w:eastAsia="仿宋_GB2312" w:cs="仿宋_GB2312"/>
          <w:sz w:val="28"/>
          <w:szCs w:val="28"/>
          <w:lang w:val="en-US" w:eastAsia="zh-CN"/>
        </w:rPr>
        <w:t>: Iklim wilayah ini ditandai dengan dua musim hujan yang berbeda. Musim hujan berlangsung dari Desember hingga Maret dengan musim hujan barat/barat laut, dan musim kemarau berlangsung dari Mei hingga September dengan musim hujan timur/tenggara.Transisi antara musim hujan dan kemarau terjadi pada bulan April dan Oktober.Situs ini mengalami musim hujan dan kemarau yang signifikan.Daerah pedalaman wilayah ini menerima curah hujan tahunan yang jauh lebih tinggi daripada daerah pesisir, dengan sekitar 85% curah hujan tahunan terjadi selama musim hujan. Tambang dan konsentrator terletak di pedalaman, dengan curah hujan yang lebih tinggi, sementara suhu siang hari tinggi sepanjang tahun, dengan waktu terpanas adalah dari September hingga Desember.</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具体规格、技术指标及售后服务要求等详见下表。</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rPr>
      </w:pPr>
      <w:r>
        <w:rPr>
          <w:rFonts w:hint="eastAsia" w:ascii="仿宋_GB2312" w:hAnsi="仿宋_GB2312" w:eastAsia="仿宋_GB2312" w:cs="仿宋_GB2312"/>
          <w:sz w:val="28"/>
          <w:szCs w:val="28"/>
        </w:rPr>
        <w:t>Spesifikasi khusus, indikator teknis, dan AFF （After Sales Service） rincian dalam tabel sbb.</w:t>
      </w:r>
    </w:p>
    <w:tbl>
      <w:tblPr>
        <w:tblStyle w:val="10"/>
        <w:tblW w:w="990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00"/>
        <w:gridCol w:w="1858"/>
        <w:gridCol w:w="995"/>
        <w:gridCol w:w="1530"/>
        <w:gridCol w:w="900"/>
        <w:gridCol w:w="95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2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r>
              <w:rPr>
                <w:rStyle w:val="18"/>
                <w:rFonts w:hint="eastAsia" w:ascii="宋体" w:hAnsi="宋体" w:eastAsia="宋体" w:cs="宋体"/>
                <w:sz w:val="18"/>
                <w:szCs w:val="18"/>
                <w:lang w:bidi="ar"/>
              </w:rPr>
              <w:t>NO</w:t>
            </w:r>
          </w:p>
        </w:tc>
        <w:tc>
          <w:tcPr>
            <w:tcW w:w="18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货物名称</w:t>
            </w:r>
            <w:r>
              <w:rPr>
                <w:rStyle w:val="18"/>
                <w:rFonts w:hint="eastAsia" w:ascii="宋体" w:hAnsi="宋体" w:eastAsia="宋体" w:cs="宋体"/>
                <w:sz w:val="18"/>
                <w:szCs w:val="18"/>
                <w:lang w:bidi="ar"/>
              </w:rPr>
              <w:t>Jenis Barang</w:t>
            </w:r>
          </w:p>
        </w:tc>
        <w:tc>
          <w:tcPr>
            <w:tcW w:w="185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规格型号</w:t>
            </w:r>
            <w:r>
              <w:rPr>
                <w:rStyle w:val="18"/>
                <w:rFonts w:hint="eastAsia" w:ascii="宋体" w:hAnsi="宋体" w:eastAsia="宋体" w:cs="宋体"/>
                <w:sz w:val="18"/>
                <w:szCs w:val="18"/>
                <w:lang w:bidi="ar"/>
              </w:rPr>
              <w:t>Model</w:t>
            </w:r>
          </w:p>
        </w:tc>
        <w:tc>
          <w:tcPr>
            <w:tcW w:w="9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sz w:val="22"/>
                <w:szCs w:val="28"/>
              </w:rPr>
            </w:pPr>
            <w:r>
              <w:rPr>
                <w:rFonts w:hint="eastAsia" w:ascii="宋体" w:hAnsi="宋体" w:eastAsia="宋体" w:cs="宋体"/>
                <w:sz w:val="22"/>
                <w:szCs w:val="28"/>
              </w:rPr>
              <w:t>材质</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sz w:val="22"/>
                <w:szCs w:val="28"/>
              </w:rPr>
              <w:t xml:space="preserve">Bahan            </w:t>
            </w:r>
          </w:p>
        </w:tc>
        <w:tc>
          <w:tcPr>
            <w:tcW w:w="153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执行标准</w:t>
            </w:r>
            <w:r>
              <w:rPr>
                <w:rFonts w:hint="eastAsia" w:ascii="宋体" w:hAnsi="宋体" w:eastAsia="宋体" w:cs="宋体"/>
                <w:sz w:val="22"/>
                <w:szCs w:val="24"/>
              </w:rPr>
              <w:t>Standar eksekusi</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w:t>
            </w:r>
            <w:r>
              <w:rPr>
                <w:rStyle w:val="18"/>
                <w:rFonts w:hint="eastAsia" w:ascii="宋体" w:hAnsi="宋体" w:eastAsia="宋体" w:cs="宋体"/>
                <w:sz w:val="18"/>
                <w:szCs w:val="18"/>
                <w:lang w:bidi="ar"/>
              </w:rPr>
              <w:t>Satuan</w:t>
            </w:r>
          </w:p>
        </w:tc>
        <w:tc>
          <w:tcPr>
            <w:tcW w:w="95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数量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sz w:val="22"/>
                <w:szCs w:val="22"/>
              </w:rPr>
            </w:pPr>
            <w:r>
              <w:rPr>
                <w:rStyle w:val="18"/>
                <w:rFonts w:hint="eastAsia" w:ascii="宋体" w:hAnsi="宋体" w:eastAsia="宋体" w:cs="宋体"/>
                <w:sz w:val="18"/>
                <w:szCs w:val="18"/>
                <w:lang w:bidi="ar"/>
              </w:rPr>
              <w:t>Qty</w:t>
            </w:r>
          </w:p>
        </w:tc>
        <w:tc>
          <w:tcPr>
            <w:tcW w:w="114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备注</w:t>
            </w:r>
          </w:p>
          <w:p>
            <w:pPr>
              <w:pStyle w:val="2"/>
              <w:keepNext w:val="0"/>
              <w:keepLines w:val="0"/>
              <w:pageBreakBefore w:val="0"/>
              <w:kinsoku/>
              <w:wordWrap/>
              <w:overflowPunct/>
              <w:topLinePunct w:val="0"/>
              <w:autoSpaceDE/>
              <w:autoSpaceDN/>
              <w:bidi w:val="0"/>
              <w:adjustRightInd/>
              <w:snapToGrid/>
              <w:spacing w:after="0" w:line="240" w:lineRule="auto"/>
              <w:ind w:firstLine="0" w:firstLineChars="0"/>
              <w:jc w:val="center"/>
              <w:outlineLvl w:val="9"/>
              <w:rPr>
                <w:rFonts w:hint="eastAsia" w:ascii="宋体" w:hAnsi="宋体" w:eastAsia="宋体" w:cs="宋体"/>
                <w:sz w:val="28"/>
                <w:szCs w:val="28"/>
              </w:rPr>
            </w:pPr>
            <w:r>
              <w:rPr>
                <w:rStyle w:val="18"/>
                <w:rFonts w:hint="eastAsia" w:ascii="宋体" w:hAnsi="宋体" w:eastAsia="宋体" w:cs="宋体"/>
                <w:sz w:val="18"/>
                <w:szCs w:val="18"/>
                <w:lang w:bidi="ar"/>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color w:val="000000"/>
                <w:sz w:val="24"/>
                <w:szCs w:val="24"/>
              </w:rPr>
            </w:pPr>
            <w:r>
              <w:rPr>
                <w:rFonts w:hint="eastAsia" w:ascii="宋体" w:hAnsi="宋体" w:cs="宋体"/>
                <w:color w:val="000000"/>
                <w:kern w:val="0"/>
                <w:sz w:val="22"/>
                <w:szCs w:val="22"/>
                <w:lang w:bidi="ar"/>
              </w:rPr>
              <w:t>1</w:t>
            </w:r>
          </w:p>
        </w:tc>
        <w:tc>
          <w:tcPr>
            <w:tcW w:w="1800"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val="en-US" w:eastAsia="zh-CN" w:bidi="ar"/>
              </w:rPr>
            </w:pPr>
            <w:r>
              <w:rPr>
                <w:rFonts w:hint="eastAsia" w:ascii="宋体" w:hAnsi="宋体" w:cs="宋体"/>
                <w:b/>
                <w:bCs/>
                <w:color w:val="000000"/>
                <w:kern w:val="0"/>
                <w:sz w:val="20"/>
                <w:szCs w:val="20"/>
                <w:lang w:val="en-US" w:eastAsia="zh-CN" w:bidi="ar"/>
              </w:rPr>
              <w:t>详见报价清单</w:t>
            </w:r>
          </w:p>
        </w:tc>
        <w:tc>
          <w:tcPr>
            <w:tcW w:w="1858"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val="en-US" w:eastAsia="zh-CN" w:bidi="ar"/>
              </w:rPr>
            </w:pPr>
          </w:p>
        </w:tc>
        <w:tc>
          <w:tcPr>
            <w:tcW w:w="995"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val="en-US" w:eastAsia="zh-CN" w:bidi="ar"/>
              </w:rPr>
            </w:pPr>
          </w:p>
        </w:tc>
        <w:tc>
          <w:tcPr>
            <w:tcW w:w="1530"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val="en-US" w:eastAsia="zh-CN" w:bidi="ar"/>
              </w:rPr>
            </w:pPr>
          </w:p>
        </w:tc>
        <w:tc>
          <w:tcPr>
            <w:tcW w:w="900"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val="en-US" w:eastAsia="zh-CN" w:bidi="ar"/>
              </w:rPr>
            </w:pPr>
          </w:p>
        </w:tc>
        <w:tc>
          <w:tcPr>
            <w:tcW w:w="95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default" w:ascii="宋体" w:hAnsi="宋体" w:eastAsia="宋体" w:cs="宋体"/>
                <w:color w:val="000000"/>
                <w:kern w:val="0"/>
                <w:sz w:val="22"/>
                <w:szCs w:val="22"/>
                <w:lang w:val="en-US" w:eastAsia="zh-CN" w:bidi="ar"/>
              </w:rPr>
            </w:pPr>
            <w:r>
              <w:rPr>
                <w:rFonts w:hint="eastAsia" w:ascii="宋体" w:hAnsi="宋体" w:cs="宋体"/>
                <w:b/>
                <w:bCs/>
                <w:color w:val="000000"/>
                <w:kern w:val="0"/>
                <w:sz w:val="20"/>
                <w:szCs w:val="20"/>
                <w:lang w:val="en-US" w:eastAsia="zh-CN" w:bidi="ar"/>
              </w:rPr>
              <w:t>详见报价清单</w:t>
            </w:r>
          </w:p>
        </w:tc>
        <w:tc>
          <w:tcPr>
            <w:tcW w:w="1145"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default" w:ascii="宋体" w:hAnsi="宋体" w:eastAsia="宋体" w:cs="宋体"/>
                <w:color w:val="000000"/>
                <w:sz w:val="20"/>
                <w:szCs w:val="20"/>
                <w:lang w:val="en-US" w:eastAsia="zh-CN"/>
              </w:rPr>
            </w:pPr>
          </w:p>
        </w:tc>
      </w:tr>
    </w:tbl>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注：招标数量为预估数量，实际结算量和预估量可能存在偏差，但总量不超过招标总量的10%，具体按订单据实结算。</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rPr>
      </w:pPr>
      <w:r>
        <w:rPr>
          <w:rFonts w:hint="eastAsia" w:ascii="仿宋_GB2312" w:hAnsi="仿宋_GB2312" w:eastAsia="仿宋_GB2312" w:cs="仿宋_GB2312"/>
          <w:sz w:val="28"/>
          <w:szCs w:val="28"/>
        </w:rPr>
        <w:t>Catatan: Kuantitas penawaran adalah perkiraan kuantitas, dan mungkin ada penyimpangan antara jumlah penyelesaian aktual dan perkiraan jumlah satu item, tetapi jumlah total tidak melebihi 10% dari jumlah total penawaran, dan penyelesaian spesifik didasarkan pada pesanan aktual.</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.采购文件获取方式：招标方于印尼雅加达时间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lang w:val="en-US" w:eastAsia="zh-CN"/>
        </w:rPr>
        <w:t>3月5日</w:t>
      </w: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 在招标方相关网站（</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"http://www.pt-mcc15.cn/"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3月5日</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：00时至</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3月13日</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:00前登录相关网站（</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"http://www.pt-mcc15.cn/"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）下载招标文件（以上所有时间均以雅加达时间为准）。</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Cara mendapatkan dokumen pengadaan: Tender akan mempublikasikan pengumuman pengadaan di situs web tender terkait (http://www.pt-mcc15.cn/) pada pukul 16:00 tanggal </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March</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waktu Jakarta, Indonesia tertarik untuk berpartisipasi dalam tanggapan (kutipan) Jika Anda tertarik, silakan masuk ke situs web terkait (http://www.pt-mcc15.cn/) untuk mengunduh dokumen penawaran (diatas) mulai pukul 16:00 pada </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March</w:t>
      </w:r>
      <w:r>
        <w:rPr>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hingga 16:00 pada tanggal </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March</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di Jakarta, Indonesia.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Semua waktu didasarkan pada waktu Jakarta). </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.投标文件（报价）方式、截止时间：签章完整的应答文件扫描件于印尼雅加达时间</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北京时间为</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3月14</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：00时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前以邮件方式发送至招标方邮箱（swyynam15mccwz@163.com）。逾期送达的或者未送达指定</w:t>
      </w:r>
      <w:r>
        <w:rPr>
          <w:rFonts w:hint="eastAsia" w:ascii="仿宋_GB2312" w:hAnsi="仿宋_GB2312" w:eastAsia="仿宋_GB2312" w:cs="仿宋_GB2312"/>
          <w:sz w:val="28"/>
          <w:szCs w:val="28"/>
          <w:lang w:val="en-US" w:eastAsia="zh-CN"/>
        </w:rPr>
        <w:t>位置</w:t>
      </w:r>
      <w:r>
        <w:rPr>
          <w:rFonts w:hint="eastAsia" w:ascii="仿宋_GB2312" w:hAnsi="仿宋_GB2312" w:eastAsia="仿宋_GB2312" w:cs="仿宋_GB2312"/>
          <w:sz w:val="28"/>
          <w:szCs w:val="28"/>
        </w:rPr>
        <w:t>的投标文件，招标人不予受理。</w:t>
      </w:r>
    </w:p>
    <w:p>
      <w:pPr>
        <w:keepNext w:val="0"/>
        <w:keepLines w:val="0"/>
        <w:pageBreakBefore w:val="0"/>
        <w:kinsoku/>
        <w:wordWrap/>
        <w:overflowPunct/>
        <w:topLinePunct w:val="0"/>
        <w:autoSpaceDE/>
        <w:autoSpaceDN/>
        <w:bidi w:val="0"/>
        <w:adjustRightInd/>
        <w:snapToGrid/>
        <w:spacing w:after="157" w:afterLines="50" w:line="24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Metode dan batas waktu dokumen penawaran (penawaran): Salinan pindaian dokumen tanggapan yang ditandatangani lengkap harus dikirim melalui email sebelum pukul 13:00 tanggal </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March</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waktu Jakarta, Indonesia (14:00 tanggal </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March</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waktu Beijing) metode akan dikirim ke alamat email penawar (swyynam15mccwz@163.com). Dokumen lelang yang diserahkan setelah batas waktu atau belum sampai ke tempat yang ditentukan tidak akan diterima oleh peserta lelang.</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.投标方资格</w:t>
      </w:r>
    </w:p>
    <w:p>
      <w:pPr>
        <w:pStyle w:val="12"/>
        <w:keepNext w:val="0"/>
        <w:keepLines w:val="0"/>
        <w:pageBreakBefore w:val="0"/>
        <w:numPr>
          <w:ilvl w:val="0"/>
          <w:numId w:val="0"/>
        </w:numPr>
        <w:tabs>
          <w:tab w:val="clear" w:pos="360"/>
          <w:tab w:val="clear" w:pos="1814"/>
        </w:tabs>
        <w:kinsoku/>
        <w:wordWrap/>
        <w:overflowPunct/>
        <w:topLinePunct w:val="0"/>
        <w:autoSpaceDE/>
        <w:autoSpaceDN/>
        <w:bidi w:val="0"/>
        <w:adjustRightInd/>
        <w:snapToGrid/>
        <w:spacing w:after="157" w:afterLines="50" w:line="240" w:lineRule="atLeast"/>
        <w:rPr>
          <w:rFonts w:ascii="仿宋_GB2312" w:hAnsi="仿宋_GB2312" w:eastAsia="仿宋_GB2312" w:cs="仿宋_GB2312"/>
          <w:sz w:val="28"/>
          <w:szCs w:val="28"/>
        </w:rPr>
      </w:pPr>
      <w:r>
        <w:rPr>
          <w:rFonts w:ascii="仿宋_GB2312" w:hAnsi="仿宋_GB2312" w:eastAsia="仿宋_GB2312" w:cs="仿宋_GB2312"/>
          <w:sz w:val="28"/>
          <w:szCs w:val="28"/>
        </w:rPr>
        <w:t>Kualifikasi penawar</w:t>
      </w:r>
    </w:p>
    <w:p>
      <w:pPr>
        <w:keepNext w:val="0"/>
        <w:keepLines w:val="0"/>
        <w:pageBreakBefore w:val="0"/>
        <w:kinsoku/>
        <w:wordWrap/>
        <w:overflowPunct/>
        <w:topLinePunct w:val="0"/>
        <w:autoSpaceDE/>
        <w:autoSpaceDN/>
        <w:bidi w:val="0"/>
        <w:adjustRightInd/>
        <w:snapToGrid/>
        <w:spacing w:after="157" w:afterLines="50" w:line="240" w:lineRule="atLeas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印尼当地有效的营业执照。</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Izin usaha lokal yang masih berlaku di Indonesia.(SIUP, AKTA Perusahaan Dll)</w:t>
      </w:r>
      <w:bookmarkStart w:id="2" w:name="_GoBack"/>
      <w:bookmarkEnd w:id="2"/>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交货期：</w:t>
      </w:r>
      <w:r>
        <w:rPr>
          <w:rFonts w:hint="eastAsia" w:ascii="仿宋_GB2312" w:hAnsi="仿宋_GB2312" w:eastAsia="仿宋_GB2312" w:cs="仿宋_GB2312"/>
          <w:color w:val="000000"/>
          <w:sz w:val="28"/>
          <w:szCs w:val="28"/>
          <w:lang w:val="en-US" w:eastAsia="zh-CN"/>
        </w:rPr>
        <w:t>合同签订之后分批交货，</w:t>
      </w:r>
      <w:r>
        <w:rPr>
          <w:rFonts w:hint="eastAsia" w:ascii="仿宋_GB2312" w:hAnsi="仿宋_GB2312" w:eastAsia="仿宋_GB2312" w:cs="仿宋_GB2312"/>
          <w:color w:val="000000"/>
          <w:sz w:val="28"/>
          <w:szCs w:val="28"/>
        </w:rPr>
        <w:t>接</w:t>
      </w:r>
      <w:r>
        <w:rPr>
          <w:rFonts w:hint="eastAsia" w:ascii="仿宋_GB2312" w:hAnsi="仿宋_GB2312" w:eastAsia="仿宋_GB2312" w:cs="仿宋_GB2312"/>
          <w:sz w:val="28"/>
          <w:szCs w:val="28"/>
        </w:rPr>
        <w:t>到招标方通知后</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5天内货物达到指定地点。</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Waktu pengiriman:Setelah kontrak ditandatangani, barang akan dikirim secara batch dan barang akan tiba di lokasi yang ditentukan dalam waktu 35 hari setelah menerima pemberitahuan dari pihak tender.</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付款方式：货由招标方验收合格后，凭签收单，按要求开具增值税专用发票后30天内支付100%</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pembayaran: Setelah barang diperiksa dan memenuhi syarat oleh pelelangan, pembayaran 100% akan dilakukan dalam waktu 30 hari setelah faktur PPN khusus diterbitkan sesuai dengan yang disyaratkan dalam formulir tanda terima.</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招标方：</w:t>
      </w:r>
      <w:bookmarkStart w:id="1" w:name="gxebd_organizationFullName_2"/>
      <w:r>
        <w:rPr>
          <w:rFonts w:hint="eastAsia" w:ascii="仿宋_GB2312" w:hAnsi="仿宋_GB2312" w:eastAsia="仿宋_GB2312" w:cs="仿宋_GB2312"/>
          <w:sz w:val="28"/>
          <w:szCs w:val="28"/>
        </w:rPr>
        <w:t>十五冶建筑工程（印尼）有限公司</w:t>
      </w:r>
      <w:bookmarkEnd w:id="1"/>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招标联系人Kontak：</w:t>
      </w:r>
      <w:r>
        <w:rPr>
          <w:rFonts w:hint="eastAsia" w:ascii="仿宋_GB2312" w:hAnsi="仿宋_GB2312" w:eastAsia="仿宋_GB2312" w:cs="仿宋_GB2312"/>
          <w:sz w:val="28"/>
          <w:szCs w:val="28"/>
          <w:lang w:val="en-US" w:eastAsia="zh-CN"/>
        </w:rPr>
        <w:t>程帆 CHENGFAN</w:t>
      </w:r>
      <w:r>
        <w:rPr>
          <w:rFonts w:hint="eastAsia" w:ascii="仿宋_GB2312" w:hAnsi="仿宋_GB2312" w:eastAsia="仿宋_GB2312" w:cs="仿宋_GB2312"/>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技术负责人Kepala Bidang Teknologi：熊正方081285307472</w:t>
      </w:r>
    </w:p>
    <w:p>
      <w:pPr>
        <w:pStyle w:val="12"/>
        <w:numPr>
          <w:ilvl w:val="0"/>
          <w:numId w:val="0"/>
        </w:numPr>
        <w:tabs>
          <w:tab w:val="clear" w:pos="1814"/>
        </w:tabs>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监督电话Telepon  Pengawas:喻耀辉  082266201277</w:t>
      </w:r>
    </w:p>
    <w:p>
      <w:pPr>
        <w:pStyle w:val="12"/>
        <w:numPr>
          <w:ilvl w:val="0"/>
          <w:numId w:val="0"/>
        </w:numPr>
        <w:tabs>
          <w:tab w:val="clear" w:pos="1814"/>
        </w:tabs>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xml:space="preserve">监督邮箱Email   Pengawas：617994780@qq.com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联系方式Nomor kontak：082147492461</w:t>
      </w:r>
    </w:p>
    <w:p>
      <w:r>
        <w:rPr>
          <w:rFonts w:hint="eastAsia" w:ascii="仿宋_GB2312" w:hAnsi="仿宋_GB2312" w:eastAsia="仿宋_GB2312" w:cs="仿宋_GB2312"/>
          <w:sz w:val="28"/>
          <w:szCs w:val="28"/>
        </w:rPr>
        <w:t>邮箱Email：swyynam15mccwz@163.com</w:t>
      </w:r>
    </w:p>
    <w:sectPr>
      <w:pgSz w:w="12240" w:h="15840"/>
      <w:pgMar w:top="1440" w:right="1134" w:bottom="1440" w:left="113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FD80D"/>
    <w:multiLevelType w:val="singleLevel"/>
    <w:tmpl w:val="B8CFD80D"/>
    <w:lvl w:ilvl="0" w:tentative="0">
      <w:start w:val="1"/>
      <w:numFmt w:val="decimal"/>
      <w:suff w:val="nothing"/>
      <w:lvlText w:val="(%1)"/>
      <w:lvlJc w:val="left"/>
      <w:pPr>
        <w:ind w:left="425" w:hanging="425"/>
      </w:pPr>
      <w:rPr>
        <w:rFonts w:hint="default" w:ascii="仿宋_GB2312" w:hAnsi="仿宋_GB2312" w:eastAsia="仿宋_GB2312" w:cs="仿宋_GB2312"/>
        <w:sz w:val="28"/>
        <w:szCs w:val="28"/>
      </w:rPr>
    </w:lvl>
  </w:abstractNum>
  <w:abstractNum w:abstractNumId="1">
    <w:nsid w:val="C4E0CA8C"/>
    <w:multiLevelType w:val="singleLevel"/>
    <w:tmpl w:val="C4E0CA8C"/>
    <w:lvl w:ilvl="0" w:tentative="0">
      <w:start w:val="1"/>
      <w:numFmt w:val="decimal"/>
      <w:lvlText w:val="%1."/>
      <w:lvlJc w:val="left"/>
      <w:pPr>
        <w:tabs>
          <w:tab w:val="left" w:pos="312"/>
        </w:tabs>
      </w:pPr>
    </w:lvl>
  </w:abstractNum>
  <w:abstractNum w:abstractNumId="2">
    <w:nsid w:val="00000016"/>
    <w:multiLevelType w:val="multilevel"/>
    <w:tmpl w:val="00000016"/>
    <w:lvl w:ilvl="0" w:tentative="0">
      <w:start w:val="1"/>
      <w:numFmt w:val="decimal"/>
      <w:pStyle w:val="1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2"/>
      <w:lvlText w:val=""/>
      <w:lvlJc w:val="left"/>
      <w:pPr>
        <w:ind w:left="2404"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mptyBookmarkList" w:val="&lt;?xml version=&quot;1.0&quot; encoding=&quot;utf-8&quot;?&gt;&lt;ArrayOfString xmlns=&quot;http://www.e-bidding.org&quot; /&gt;"/>
    <w:docVar w:name="commondata" w:val="eyJoZGlkIjoiZDg0NDBlMDY4NWY5Nzk5MmM4OGEyZmJmZTIzMzQ0MjMifQ=="/>
    <w:docVar w:name="DataItemList" w:val="&lt;?xml version=&quot;1.0&quot; encoding=&quot;utf-8&quot;?&gt;&lt;dataItemList xmlns=&quot;http://www.e-bidding.org&quot;&gt;&lt;dataItem&gt;&lt;id&gt;buyersLinkman&lt;/id&gt;&lt;name&gt;招标人（采购人）联系人&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buyersLinkerTel&lt;/id&gt;&lt;name&gt;招标人（采购人）电话&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tenderNo&lt;/id&gt;&lt;name&gt;项目编号&lt;/name&gt;&lt;value /&gt;&lt;type&gt;项目基本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tenderName&lt;/id&gt;&lt;name&gt;项目名称&lt;/name&gt;&lt;value /&gt;&lt;type&gt;项目基本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docDownloadStartTime&lt;/id&gt;&lt;name&gt;获取文件开始时间&lt;/name&gt;&lt;value /&gt;&lt;type&gt;报名信息&lt;/type&gt;&lt;readOnly&gt;false&lt;/readOnly&gt;&lt;isMust /&gt;&lt;isVisible /&gt;&lt;remark /&gt;&lt;dataType&gt;datetime&lt;/dataType&gt;&lt;editType&gt;dateTimePicker&lt;/editType&gt;&lt;maxLength /&gt;&lt;formatString&gt;yyyy年MM月dd日 HH时mm分&lt;/formatString&gt;&lt;dataOptions /&gt;&lt;allowDefault&gt;false&lt;/allowDefault&gt;&lt;defaultValue /&gt;&lt;regularExpressions /&gt;&lt;dataOptionsCodes /&gt;&lt;isVisible_x005f_x0020_&gt;Y&lt;/isVisible_x005f_x0020_&gt;&lt;isSystem&gt;false&lt;/isSystem&gt;&lt;/dataItem&gt;&lt;dataItem&gt;&lt;id&gt;docDownloadEndTime&lt;/id&gt;&lt;name&gt;获取文件结束时间&lt;/name&gt;&lt;value /&gt;&lt;type&gt;报名信息&lt;/type&gt;&lt;readOnly&gt;false&lt;/readOnly&gt;&lt;isMust /&gt;&lt;isVisible /&gt;&lt;remark /&gt;&lt;dataType&gt;datetime&lt;/dataType&gt;&lt;editType&gt;dateTimePicker&lt;/editType&gt;&lt;maxLength /&gt;&lt;formatString&gt;yyyy年MM月dd日&lt;/formatString&gt;&lt;dataOptions /&gt;&lt;allowDefault&gt;false&lt;/allowDefault&gt;&lt;defaultValue /&gt;&lt;regularExpressions /&gt;&lt;dataOptionsCodes /&gt;&lt;isVisible_x005f_x0020_&gt;Y&lt;/isVisible_x005f_x0020_&gt;&lt;isSystem&gt;false&lt;/isSystem&gt;&lt;/dataItem&gt;&lt;dataItem&gt;&lt;id&gt;bidEndTime&lt;/id&gt;&lt;name&gt;投标截止时间&lt;/name&gt;&lt;value /&gt;&lt;type&gt;投标信息&lt;/type&gt;&lt;readOnly&gt;false&lt;/readOnly&gt;&lt;isMust /&gt;&lt;isVisible /&gt;&lt;remark /&gt;&lt;dataType&gt;datetime&lt;/dataType&gt;&lt;editType&gt;dateTimePicker&lt;/editType&gt;&lt;maxLength /&gt;&lt;formatString&gt;yyyy年MM月dd日HH时mm分&lt;/formatString&gt;&lt;dataOptions /&gt;&lt;allowDefault /&gt;&lt;defaultValue /&gt;&lt;regularExpressions /&gt;&lt;dataOptionsCodes /&gt;&lt;isSystem&gt;true&lt;/isSystem&gt;&lt;/dataItem&gt;&lt;dataItem&gt;&lt;id&gt;correctDate&lt;/id&gt;&lt;name&gt;更正日期&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gt;&lt;id&gt;organizationFullName&lt;/id&gt;&lt;name&gt;组织单位全称&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List&gt;"/>
  </w:docVars>
  <w:rsids>
    <w:rsidRoot w:val="00172A27"/>
    <w:rsid w:val="00045962"/>
    <w:rsid w:val="00185974"/>
    <w:rsid w:val="00192952"/>
    <w:rsid w:val="001B583C"/>
    <w:rsid w:val="00232F62"/>
    <w:rsid w:val="00257C60"/>
    <w:rsid w:val="00295561"/>
    <w:rsid w:val="002D6730"/>
    <w:rsid w:val="00331435"/>
    <w:rsid w:val="003D1A7E"/>
    <w:rsid w:val="003D2DF5"/>
    <w:rsid w:val="00497F48"/>
    <w:rsid w:val="005302B0"/>
    <w:rsid w:val="005A6D1D"/>
    <w:rsid w:val="005F6C2F"/>
    <w:rsid w:val="00653019"/>
    <w:rsid w:val="006B05BB"/>
    <w:rsid w:val="00783467"/>
    <w:rsid w:val="007C627E"/>
    <w:rsid w:val="008161EE"/>
    <w:rsid w:val="008D6129"/>
    <w:rsid w:val="00935A47"/>
    <w:rsid w:val="00976189"/>
    <w:rsid w:val="009A4E5F"/>
    <w:rsid w:val="00AF1F42"/>
    <w:rsid w:val="00AF401D"/>
    <w:rsid w:val="00B21535"/>
    <w:rsid w:val="00B91FFC"/>
    <w:rsid w:val="00D75DC9"/>
    <w:rsid w:val="00D875BB"/>
    <w:rsid w:val="00DA3DBA"/>
    <w:rsid w:val="00DA5BD9"/>
    <w:rsid w:val="00E028F6"/>
    <w:rsid w:val="00E61301"/>
    <w:rsid w:val="00EE1AB9"/>
    <w:rsid w:val="00EE5669"/>
    <w:rsid w:val="00FA7697"/>
    <w:rsid w:val="010666DE"/>
    <w:rsid w:val="016F29E9"/>
    <w:rsid w:val="02160527"/>
    <w:rsid w:val="02C50B9B"/>
    <w:rsid w:val="0415624F"/>
    <w:rsid w:val="05F54255"/>
    <w:rsid w:val="0620509A"/>
    <w:rsid w:val="064F5BE9"/>
    <w:rsid w:val="06AA71FC"/>
    <w:rsid w:val="07F84AFD"/>
    <w:rsid w:val="085C2446"/>
    <w:rsid w:val="08CD2650"/>
    <w:rsid w:val="0AA60D06"/>
    <w:rsid w:val="0BFD70B9"/>
    <w:rsid w:val="0BFF5E9A"/>
    <w:rsid w:val="0C3D20A1"/>
    <w:rsid w:val="0C8E363A"/>
    <w:rsid w:val="0D3C64F6"/>
    <w:rsid w:val="117E0BAA"/>
    <w:rsid w:val="12A2529E"/>
    <w:rsid w:val="130136A9"/>
    <w:rsid w:val="136A6CCE"/>
    <w:rsid w:val="138E638B"/>
    <w:rsid w:val="147C342B"/>
    <w:rsid w:val="14DE4AAB"/>
    <w:rsid w:val="156E66B6"/>
    <w:rsid w:val="15F27901"/>
    <w:rsid w:val="1608646E"/>
    <w:rsid w:val="167823B1"/>
    <w:rsid w:val="170A3ED8"/>
    <w:rsid w:val="176B64FB"/>
    <w:rsid w:val="17BC1967"/>
    <w:rsid w:val="1E35361B"/>
    <w:rsid w:val="1E611C97"/>
    <w:rsid w:val="1FF7549D"/>
    <w:rsid w:val="20272B92"/>
    <w:rsid w:val="222A7D0E"/>
    <w:rsid w:val="22737A99"/>
    <w:rsid w:val="23E619EE"/>
    <w:rsid w:val="249A6A03"/>
    <w:rsid w:val="24AA2336"/>
    <w:rsid w:val="24F3545E"/>
    <w:rsid w:val="26014681"/>
    <w:rsid w:val="270776A0"/>
    <w:rsid w:val="2842411B"/>
    <w:rsid w:val="29EA6219"/>
    <w:rsid w:val="2B01079C"/>
    <w:rsid w:val="2C0C1FCD"/>
    <w:rsid w:val="2C2A3701"/>
    <w:rsid w:val="2EAC37A0"/>
    <w:rsid w:val="2FC254E7"/>
    <w:rsid w:val="306E4DB3"/>
    <w:rsid w:val="308A5BCF"/>
    <w:rsid w:val="318801BE"/>
    <w:rsid w:val="3272625C"/>
    <w:rsid w:val="32D16DB2"/>
    <w:rsid w:val="330261B6"/>
    <w:rsid w:val="336E5BE1"/>
    <w:rsid w:val="34396E05"/>
    <w:rsid w:val="36020996"/>
    <w:rsid w:val="36A622B7"/>
    <w:rsid w:val="36AB3A9A"/>
    <w:rsid w:val="36F36B33"/>
    <w:rsid w:val="37A22F25"/>
    <w:rsid w:val="39232498"/>
    <w:rsid w:val="39F01934"/>
    <w:rsid w:val="3A927B01"/>
    <w:rsid w:val="3CD77727"/>
    <w:rsid w:val="3D565E9F"/>
    <w:rsid w:val="3D8E220A"/>
    <w:rsid w:val="3F0B2B8E"/>
    <w:rsid w:val="3F3300A3"/>
    <w:rsid w:val="3FB57611"/>
    <w:rsid w:val="428744DD"/>
    <w:rsid w:val="43374AD8"/>
    <w:rsid w:val="436B01BE"/>
    <w:rsid w:val="441B7DAE"/>
    <w:rsid w:val="44531FA9"/>
    <w:rsid w:val="445441A7"/>
    <w:rsid w:val="448623F7"/>
    <w:rsid w:val="45477B58"/>
    <w:rsid w:val="456E6229"/>
    <w:rsid w:val="46565EF6"/>
    <w:rsid w:val="4704203A"/>
    <w:rsid w:val="47187BF5"/>
    <w:rsid w:val="47AC51A3"/>
    <w:rsid w:val="488B6C3D"/>
    <w:rsid w:val="48BB3C51"/>
    <w:rsid w:val="49F33E5A"/>
    <w:rsid w:val="4A270B33"/>
    <w:rsid w:val="4BA86CAC"/>
    <w:rsid w:val="4D1B2411"/>
    <w:rsid w:val="4E734BC1"/>
    <w:rsid w:val="4E8925E8"/>
    <w:rsid w:val="4E904F49"/>
    <w:rsid w:val="4F344A4A"/>
    <w:rsid w:val="505523F1"/>
    <w:rsid w:val="52AF5802"/>
    <w:rsid w:val="52CB6DE5"/>
    <w:rsid w:val="534711DA"/>
    <w:rsid w:val="540754E7"/>
    <w:rsid w:val="54322E92"/>
    <w:rsid w:val="544865C8"/>
    <w:rsid w:val="54D56E3A"/>
    <w:rsid w:val="56F842C8"/>
    <w:rsid w:val="59762756"/>
    <w:rsid w:val="5C3125CF"/>
    <w:rsid w:val="5C636F65"/>
    <w:rsid w:val="5CE10DFF"/>
    <w:rsid w:val="5E6721EE"/>
    <w:rsid w:val="5F75272C"/>
    <w:rsid w:val="5F775C2F"/>
    <w:rsid w:val="60E9228D"/>
    <w:rsid w:val="618B7898"/>
    <w:rsid w:val="62A328E3"/>
    <w:rsid w:val="62A333BE"/>
    <w:rsid w:val="63835B45"/>
    <w:rsid w:val="64A6518C"/>
    <w:rsid w:val="64C051BE"/>
    <w:rsid w:val="64E46F99"/>
    <w:rsid w:val="65307FAC"/>
    <w:rsid w:val="65655279"/>
    <w:rsid w:val="65D32E58"/>
    <w:rsid w:val="666D72A0"/>
    <w:rsid w:val="675263D8"/>
    <w:rsid w:val="67DD729C"/>
    <w:rsid w:val="694F2400"/>
    <w:rsid w:val="6AA435A2"/>
    <w:rsid w:val="6AF0637A"/>
    <w:rsid w:val="6B2547D6"/>
    <w:rsid w:val="6B3218ED"/>
    <w:rsid w:val="6B8E6784"/>
    <w:rsid w:val="6C7C2B89"/>
    <w:rsid w:val="6D9F8D10"/>
    <w:rsid w:val="6DCF7FB8"/>
    <w:rsid w:val="6DF3366F"/>
    <w:rsid w:val="6DFF2D05"/>
    <w:rsid w:val="6E0B4599"/>
    <w:rsid w:val="6EE94E2E"/>
    <w:rsid w:val="6F697D59"/>
    <w:rsid w:val="70573D9F"/>
    <w:rsid w:val="7118679B"/>
    <w:rsid w:val="72C41CD9"/>
    <w:rsid w:val="746B330F"/>
    <w:rsid w:val="74771849"/>
    <w:rsid w:val="75F9181C"/>
    <w:rsid w:val="7605562E"/>
    <w:rsid w:val="76FE3F9F"/>
    <w:rsid w:val="788D4C83"/>
    <w:rsid w:val="78C43EAD"/>
    <w:rsid w:val="7A062463"/>
    <w:rsid w:val="7AE00B72"/>
    <w:rsid w:val="7AF74E43"/>
    <w:rsid w:val="7BAD5E70"/>
    <w:rsid w:val="7BF47568"/>
    <w:rsid w:val="7D5E3681"/>
    <w:rsid w:val="7D7D15ED"/>
    <w:rsid w:val="7E4C09C1"/>
    <w:rsid w:val="7EB1524F"/>
    <w:rsid w:val="7EFC75D3"/>
    <w:rsid w:val="7F5C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9"/>
    <w:pPr>
      <w:keepNext/>
      <w:keepLines/>
      <w:spacing w:line="300" w:lineRule="auto"/>
      <w:ind w:firstLine="480"/>
      <w:outlineLvl w:val="2"/>
    </w:pPr>
    <w:rPr>
      <w:rFonts w:ascii="宋体" w:hAnsi="宋体"/>
      <w:b/>
      <w:bCs/>
      <w:color w:val="000000"/>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0"/>
    <w:rPr>
      <w:color w:val="0000FF"/>
      <w:u w:val="single"/>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引言二级条标题"/>
    <w:basedOn w:val="13"/>
    <w:next w:val="14"/>
    <w:qFormat/>
    <w:uiPriority w:val="0"/>
    <w:pPr>
      <w:numPr>
        <w:ilvl w:val="1"/>
        <w:numId w:val="1"/>
      </w:numPr>
      <w:tabs>
        <w:tab w:val="left" w:pos="360"/>
        <w:tab w:val="left" w:pos="1814"/>
      </w:tabs>
    </w:pPr>
  </w:style>
  <w:style w:type="paragraph" w:customStyle="1" w:styleId="13">
    <w:name w:val="引言一级条标题"/>
    <w:basedOn w:val="1"/>
    <w:next w:val="14"/>
    <w:qFormat/>
    <w:uiPriority w:val="0"/>
    <w:pPr>
      <w:widowControl/>
      <w:numPr>
        <w:ilvl w:val="0"/>
        <w:numId w:val="2"/>
      </w:numPr>
    </w:pPr>
    <w:rPr>
      <w:rFonts w:ascii="Times New Roman" w:hAnsi="Times New Roman" w:eastAsia="黑体"/>
      <w:b/>
    </w:rPr>
  </w:style>
  <w:style w:type="paragraph" w:customStyle="1" w:styleId="14">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5">
    <w:name w:val="页眉 字符"/>
    <w:basedOn w:val="8"/>
    <w:link w:val="6"/>
    <w:qFormat/>
    <w:uiPriority w:val="99"/>
    <w:rPr>
      <w:sz w:val="18"/>
      <w:szCs w:val="18"/>
    </w:rPr>
  </w:style>
  <w:style w:type="character" w:customStyle="1" w:styleId="16">
    <w:name w:val="页脚 字符"/>
    <w:basedOn w:val="8"/>
    <w:link w:val="5"/>
    <w:qFormat/>
    <w:uiPriority w:val="99"/>
    <w:rPr>
      <w:sz w:val="18"/>
      <w:szCs w:val="18"/>
    </w:rPr>
  </w:style>
  <w:style w:type="character" w:customStyle="1" w:styleId="17">
    <w:name w:val="font01"/>
    <w:basedOn w:val="8"/>
    <w:qFormat/>
    <w:uiPriority w:val="0"/>
    <w:rPr>
      <w:rFonts w:hint="eastAsia" w:ascii="宋体" w:hAnsi="宋体" w:eastAsia="宋体" w:cs="宋体"/>
      <w:color w:val="000000"/>
      <w:sz w:val="16"/>
      <w:szCs w:val="16"/>
      <w:u w:val="none"/>
      <w:vertAlign w:val="superscript"/>
    </w:rPr>
  </w:style>
  <w:style w:type="character" w:customStyle="1" w:styleId="18">
    <w:name w:val="font21"/>
    <w:basedOn w:val="8"/>
    <w:qFormat/>
    <w:uiPriority w:val="0"/>
    <w:rPr>
      <w:rFonts w:hint="eastAsia" w:ascii="宋体" w:hAnsi="宋体" w:eastAsia="宋体" w:cs="宋体"/>
      <w:color w:val="000000"/>
      <w:sz w:val="16"/>
      <w:szCs w:val="16"/>
      <w:u w:val="none"/>
    </w:rPr>
  </w:style>
  <w:style w:type="character" w:customStyle="1" w:styleId="19">
    <w:name w:val="font11"/>
    <w:basedOn w:val="8"/>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1599</Words>
  <Characters>4848</Characters>
  <Lines>22</Lines>
  <Paragraphs>6</Paragraphs>
  <TotalTime>3</TotalTime>
  <ScaleCrop>false</ScaleCrop>
  <LinksUpToDate>false</LinksUpToDate>
  <CharactersWithSpaces>5393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2023-06-21T07:08:00Z</dcterms:created>
  <dc:creator>Windows 用户</dc:creator>
  <cp:lastModifiedBy>程帆</cp:lastModifiedBy>
  <dcterms:modified xsi:type="dcterms:W3CDTF">2025-03-03T00:15:05Z</dcterms:modified>
  <dc:title>询比公告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DFF6383B2D414E919B87EF4910B4FA65_12</vt:lpwstr>
  </property>
  <property fmtid="{D5CDD505-2E9C-101B-9397-08002B2CF9AE}" pid="4" name="KSOTemplateDocerSaveRecord">
    <vt:lpwstr>eyJoZGlkIjoiZDg0NDBlMDY4NWY5Nzk5MmM4OGEyZmJmZTIzMzQ0MjMiLCJ1c2VySWQiOiI5MjE5NjEyMjcifQ==</vt:lpwstr>
  </property>
</Properties>
</file>