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履带吊、汽车吊、装载机、平板车、随车吊租赁服务</w:t>
      </w:r>
      <w:r>
        <w:rPr>
          <w:rFonts w:hint="eastAsia" w:ascii="方正小标宋简体" w:hAnsi="方正小标宋简体" w:eastAsia="方正小标宋简体" w:cs="方正小标宋简体"/>
          <w:b/>
          <w:bCs/>
          <w:sz w:val="36"/>
          <w:szCs w:val="36"/>
          <w:lang w:val="en-US" w:eastAsia="zh-CN"/>
        </w:rPr>
        <w:t>招</w:t>
      </w:r>
      <w:r>
        <w:rPr>
          <w:rFonts w:hint="eastAsia" w:ascii="方正小标宋简体" w:hAnsi="方正小标宋简体" w:eastAsia="方正小标宋简体" w:cs="方正小标宋简体"/>
          <w:b/>
          <w:bCs/>
          <w:sz w:val="36"/>
          <w:szCs w:val="36"/>
        </w:rPr>
        <w:t>标文件</w:t>
      </w:r>
    </w:p>
    <w:p w14:paraId="6C606057">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FF0000"/>
          <w:sz w:val="21"/>
          <w:szCs w:val="21"/>
          <w:lang w:val="en-US" w:eastAsia="zh-CN"/>
        </w:rPr>
        <w:t xml:space="preserve"> </w:t>
      </w:r>
      <w:r>
        <w:rPr>
          <w:rFonts w:hint="eastAsia" w:ascii="方正小标宋简体" w:hAnsi="方正小标宋简体" w:eastAsia="方正小标宋简体" w:cs="方正小标宋简体"/>
          <w:b/>
          <w:bCs/>
          <w:color w:val="auto"/>
          <w:sz w:val="21"/>
          <w:szCs w:val="21"/>
          <w:u w:val="single"/>
        </w:rPr>
        <w:t>crawler crane, truck crane, loader, truk flatbed, dan jasa penyewaan crane yang dipasang di truk</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w:t>
      </w:r>
      <w:r>
        <w:rPr>
          <w:rFonts w:hint="eastAsia" w:ascii="楷体" w:hAnsi="楷体" w:eastAsia="楷体" w:cs="楷体"/>
          <w:b/>
          <w:sz w:val="32"/>
          <w:szCs w:val="32"/>
          <w:lang w:val="en-US" w:eastAsia="zh-CN"/>
        </w:rPr>
        <w:t>10</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w:t>
      </w:r>
      <w:r>
        <w:rPr>
          <w:rFonts w:hint="eastAsia" w:ascii="楷体" w:hAnsi="楷体" w:eastAsia="楷体" w:cs="楷体"/>
          <w:b/>
          <w:sz w:val="32"/>
          <w:szCs w:val="32"/>
          <w:lang w:val="en-US" w:eastAsia="zh-CN"/>
        </w:rPr>
        <w:t>10</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auto"/>
          <w:sz w:val="32"/>
        </w:rPr>
      </w:pPr>
      <w:r>
        <w:rPr>
          <w:rFonts w:hint="eastAsia" w:ascii="仿宋_GB2312" w:hAnsi="仿宋_GB2312" w:eastAsia="仿宋_GB2312"/>
          <w:b/>
          <w:color w:val="auto"/>
          <w:sz w:val="32"/>
        </w:rPr>
        <w:t>202</w:t>
      </w:r>
      <w:r>
        <w:rPr>
          <w:rFonts w:hint="eastAsia" w:ascii="仿宋_GB2312" w:hAnsi="仿宋_GB2312" w:eastAsia="仿宋_GB2312"/>
          <w:b/>
          <w:color w:val="auto"/>
          <w:sz w:val="32"/>
          <w:lang w:val="en-US" w:eastAsia="zh-CN"/>
        </w:rPr>
        <w:t>5</w:t>
      </w:r>
      <w:r>
        <w:rPr>
          <w:rFonts w:hint="eastAsia" w:ascii="仿宋_GB2312" w:hAnsi="仿宋_GB2312" w:eastAsia="仿宋_GB2312"/>
          <w:b/>
          <w:color w:val="auto"/>
          <w:sz w:val="32"/>
        </w:rPr>
        <w:t>年</w:t>
      </w:r>
      <w:r>
        <w:rPr>
          <w:rFonts w:hint="eastAsia" w:ascii="仿宋_GB2312" w:hAnsi="仿宋_GB2312" w:eastAsia="仿宋_GB2312"/>
          <w:b/>
          <w:color w:val="auto"/>
          <w:sz w:val="32"/>
          <w:lang w:val="en-US" w:eastAsia="zh-CN"/>
        </w:rPr>
        <w:t>4</w:t>
      </w:r>
      <w:r>
        <w:rPr>
          <w:rFonts w:hint="eastAsia" w:ascii="仿宋_GB2312" w:hAnsi="仿宋_GB2312" w:eastAsia="仿宋_GB2312"/>
          <w:b/>
          <w:color w:val="auto"/>
          <w:sz w:val="32"/>
        </w:rPr>
        <w:t>月</w:t>
      </w:r>
      <w:r>
        <w:rPr>
          <w:rFonts w:hint="eastAsia" w:ascii="仿宋_GB2312" w:hAnsi="仿宋_GB2312" w:eastAsia="仿宋_GB2312"/>
          <w:b/>
          <w:color w:val="auto"/>
          <w:sz w:val="32"/>
          <w:lang w:val="en-US" w:eastAsia="zh-CN"/>
        </w:rPr>
        <w:t>11</w:t>
      </w:r>
      <w:r>
        <w:rPr>
          <w:rFonts w:hint="eastAsia" w:ascii="仿宋_GB2312" w:hAnsi="仿宋_GB2312" w:eastAsia="仿宋_GB2312"/>
          <w:b/>
          <w:color w:val="auto"/>
          <w:sz w:val="32"/>
        </w:rPr>
        <w:t>日</w:t>
      </w:r>
    </w:p>
    <w:p w14:paraId="71979F3F">
      <w:pPr>
        <w:pStyle w:val="2"/>
        <w:ind w:firstLine="0" w:firstLineChars="0"/>
        <w:jc w:val="center"/>
        <w:rPr>
          <w:rFonts w:hint="eastAsia" w:eastAsia="宋体"/>
          <w:lang w:eastAsia="zh-CN"/>
        </w:rPr>
      </w:pPr>
      <w:r>
        <w:rPr>
          <w:rFonts w:hint="eastAsia"/>
          <w:lang w:val="en-US" w:eastAsia="zh-CN"/>
        </w:rPr>
        <w:t>11 April</w:t>
      </w:r>
      <w:r>
        <w:rPr>
          <w:rFonts w:hint="eastAsia"/>
        </w:rPr>
        <w:t xml:space="preserve"> 202</w:t>
      </w:r>
      <w:r>
        <w:rPr>
          <w:rFonts w:hint="eastAsia"/>
          <w:lang w:val="en-US" w:eastAsia="zh-CN"/>
        </w:rPr>
        <w:t>5</w:t>
      </w:r>
    </w:p>
    <w:p w14:paraId="6F38576C">
      <w:pPr>
        <w:pStyle w:val="3"/>
        <w:rPr>
          <w:rFonts w:hint="eastAsia"/>
        </w:rPr>
      </w:pPr>
    </w:p>
    <w:p w14:paraId="2F9690BD">
      <w:pPr>
        <w:pStyle w:val="3"/>
        <w:rPr>
          <w:rFonts w:hint="eastAsia"/>
        </w:rPr>
      </w:pPr>
    </w:p>
    <w:p w14:paraId="2833B203">
      <w:pPr>
        <w:keepNext w:val="0"/>
        <w:keepLines w:val="0"/>
        <w:pageBreakBefore w:val="0"/>
        <w:widowControl/>
        <w:shd w:val="clear" w:color="auto" w:fill="FFFFFF"/>
        <w:kinsoku/>
        <w:wordWrap/>
        <w:overflowPunct/>
        <w:topLinePunct w:val="0"/>
        <w:bidi w:val="0"/>
        <w:adjustRightInd/>
        <w:snapToGrid/>
        <w:spacing w:after="0" w:line="240" w:lineRule="auto"/>
        <w:ind w:right="0" w:firstLine="3614" w:firstLineChars="1000"/>
        <w:outlineLvl w:val="9"/>
        <w:rPr>
          <w:rFonts w:hint="eastAsia" w:ascii="宋体" w:hAnsi="宋体" w:cs="Tahoma"/>
          <w:b/>
          <w:bCs/>
          <w:kern w:val="0"/>
          <w:sz w:val="36"/>
          <w:szCs w:val="36"/>
        </w:rPr>
      </w:pPr>
      <w:r>
        <w:rPr>
          <w:rFonts w:hint="eastAsia" w:ascii="宋体" w:hAnsi="宋体" w:cs="Tahoma"/>
          <w:b/>
          <w:bCs/>
          <w:kern w:val="0"/>
          <w:sz w:val="36"/>
          <w:szCs w:val="36"/>
        </w:rPr>
        <w:t>招 标 公 告</w:t>
      </w:r>
    </w:p>
    <w:p w14:paraId="32902790">
      <w:pPr>
        <w:keepNext w:val="0"/>
        <w:keepLines w:val="0"/>
        <w:pageBreakBefore w:val="0"/>
        <w:widowControl/>
        <w:shd w:val="clear" w:color="auto" w:fill="FFFFFF"/>
        <w:kinsoku/>
        <w:wordWrap/>
        <w:overflowPunct/>
        <w:topLinePunct w:val="0"/>
        <w:bidi w:val="0"/>
        <w:adjustRightInd/>
        <w:snapToGrid/>
        <w:spacing w:after="0" w:line="240" w:lineRule="auto"/>
        <w:ind w:right="0"/>
        <w:jc w:val="center"/>
        <w:outlineLvl w:val="9"/>
        <w:rPr>
          <w:rFonts w:ascii="Tahoma" w:hAnsi="Tahoma" w:cs="Tahoma"/>
          <w:color w:val="666666"/>
          <w:kern w:val="0"/>
          <w:sz w:val="18"/>
          <w:szCs w:val="18"/>
        </w:rPr>
      </w:pPr>
      <w:r>
        <w:rPr>
          <w:rFonts w:hint="eastAsia" w:ascii="宋体" w:hAnsi="宋体" w:cs="Tahoma"/>
          <w:b/>
          <w:bCs/>
          <w:kern w:val="0"/>
          <w:sz w:val="36"/>
          <w:szCs w:val="36"/>
        </w:rPr>
        <w:t>Pengumuman tender</w:t>
      </w:r>
    </w:p>
    <w:p w14:paraId="0BFD08C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-FW</w:t>
      </w:r>
    </w:p>
    <w:p w14:paraId="2BE4A2E0">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-FW</w:t>
      </w:r>
    </w:p>
    <w:p w14:paraId="53809E3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sz w:val="28"/>
          <w:szCs w:val="28"/>
          <w:u w:val="single"/>
          <w:lang w:val="en-US" w:eastAsia="zh-CN"/>
        </w:rPr>
        <w:t>履带吊、汽车吊、装载机、平板车、随车吊</w:t>
      </w:r>
      <w:r>
        <w:rPr>
          <w:rFonts w:hint="eastAsia" w:ascii="仿宋_GB2312" w:hAnsi="仿宋_GB2312" w:eastAsia="仿宋_GB2312" w:cs="仿宋_GB2312"/>
          <w:sz w:val="28"/>
          <w:szCs w:val="28"/>
        </w:rPr>
        <w:t>租赁服务招标</w:t>
      </w:r>
    </w:p>
    <w:p w14:paraId="7DF71944">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 xml:space="preserve">Nama tender：PT.MCC15 ENGINEERING AND CONSTRUCTION AMIN </w:t>
      </w:r>
      <w:r>
        <w:rPr>
          <w:rFonts w:hint="eastAsia" w:ascii="仿宋_GB2312" w:hAnsi="仿宋_GB2312" w:eastAsia="仿宋_GB2312" w:cs="仿宋_GB2312"/>
          <w:sz w:val="28"/>
          <w:szCs w:val="28"/>
          <w:lang w:val="en-US" w:eastAsia="zh-CN"/>
        </w:rPr>
        <w:t>K</w:t>
      </w:r>
      <w:r>
        <w:rPr>
          <w:rFonts w:hint="eastAsia" w:ascii="仿宋_GB2312" w:hAnsi="仿宋_GB2312" w:eastAsia="仿宋_GB2312" w:cs="仿宋_GB2312"/>
          <w:sz w:val="28"/>
          <w:szCs w:val="28"/>
        </w:rPr>
        <w:t xml:space="preserve">onsentrator </w:t>
      </w: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embaga</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Derek perayap, derek truk, pemuat, truk bak datar, derek yang dipasang di truk</w:t>
      </w:r>
    </w:p>
    <w:p w14:paraId="7C0176F1">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3.具体规格、技术指标及售后服务要求等详见下表。</w:t>
      </w:r>
    </w:p>
    <w:p w14:paraId="2BD55755">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14:paraId="3D4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4" w:type="dxa"/>
            <w:vAlign w:val="center"/>
          </w:tcPr>
          <w:p w14:paraId="1D4E61B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序号</w:t>
            </w:r>
          </w:p>
          <w:p w14:paraId="4AA8BB0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NO</w:t>
            </w:r>
          </w:p>
        </w:tc>
        <w:tc>
          <w:tcPr>
            <w:tcW w:w="1857" w:type="dxa"/>
            <w:vAlign w:val="center"/>
          </w:tcPr>
          <w:p w14:paraId="2EBC55D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货物名称</w:t>
            </w:r>
          </w:p>
          <w:p w14:paraId="3E36F35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Jenis Barang</w:t>
            </w:r>
          </w:p>
        </w:tc>
        <w:tc>
          <w:tcPr>
            <w:tcW w:w="857" w:type="dxa"/>
            <w:vAlign w:val="center"/>
          </w:tcPr>
          <w:p w14:paraId="382DCB0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规格型号</w:t>
            </w:r>
          </w:p>
          <w:p w14:paraId="750CFF4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Model</w:t>
            </w:r>
          </w:p>
        </w:tc>
        <w:tc>
          <w:tcPr>
            <w:tcW w:w="1881" w:type="dxa"/>
            <w:vAlign w:val="center"/>
          </w:tcPr>
          <w:p w14:paraId="6B31D97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标准/技术要求Standard / technical requirements</w:t>
            </w:r>
          </w:p>
        </w:tc>
        <w:tc>
          <w:tcPr>
            <w:tcW w:w="1131" w:type="dxa"/>
            <w:vAlign w:val="center"/>
          </w:tcPr>
          <w:p w14:paraId="1A77F7D2">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计量单位Satuan</w:t>
            </w:r>
          </w:p>
        </w:tc>
        <w:tc>
          <w:tcPr>
            <w:tcW w:w="786" w:type="dxa"/>
            <w:vAlign w:val="center"/>
          </w:tcPr>
          <w:p w14:paraId="0B729DC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需求数量Qty</w:t>
            </w:r>
          </w:p>
        </w:tc>
        <w:tc>
          <w:tcPr>
            <w:tcW w:w="679" w:type="dxa"/>
            <w:tcBorders>
              <w:right w:val="single" w:color="auto" w:sz="4" w:space="0"/>
            </w:tcBorders>
            <w:vAlign w:val="center"/>
          </w:tcPr>
          <w:p w14:paraId="7E46658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租赁时间（月）</w:t>
            </w:r>
          </w:p>
        </w:tc>
        <w:tc>
          <w:tcPr>
            <w:tcW w:w="2031" w:type="dxa"/>
            <w:tcBorders>
              <w:top w:val="single" w:color="auto" w:sz="4" w:space="0"/>
              <w:left w:val="single" w:color="auto" w:sz="4" w:space="0"/>
              <w:bottom w:val="single" w:color="auto" w:sz="4" w:space="0"/>
              <w:right w:val="single" w:color="auto" w:sz="4" w:space="0"/>
            </w:tcBorders>
            <w:vAlign w:val="center"/>
          </w:tcPr>
          <w:p w14:paraId="5C620C79">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备注</w:t>
            </w:r>
          </w:p>
          <w:p w14:paraId="2462F8D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Catatan</w:t>
            </w:r>
          </w:p>
        </w:tc>
      </w:tr>
      <w:tr w14:paraId="7C0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20974D6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36BF974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详见报价清单</w:t>
            </w:r>
          </w:p>
        </w:tc>
        <w:tc>
          <w:tcPr>
            <w:tcW w:w="857" w:type="dxa"/>
            <w:vAlign w:val="center"/>
          </w:tcPr>
          <w:p w14:paraId="2ADFF54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bidi="ar"/>
              </w:rPr>
            </w:pPr>
          </w:p>
        </w:tc>
        <w:tc>
          <w:tcPr>
            <w:tcW w:w="1881" w:type="dxa"/>
            <w:vAlign w:val="center"/>
          </w:tcPr>
          <w:p w14:paraId="3B88E9F8">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105699E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c>
          <w:tcPr>
            <w:tcW w:w="786" w:type="dxa"/>
            <w:vAlign w:val="center"/>
          </w:tcPr>
          <w:p w14:paraId="4B60523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val="en-US" w:eastAsia="zh-CN" w:bidi="ar"/>
              </w:rPr>
            </w:pPr>
          </w:p>
        </w:tc>
        <w:tc>
          <w:tcPr>
            <w:tcW w:w="679" w:type="dxa"/>
            <w:vAlign w:val="center"/>
          </w:tcPr>
          <w:p w14:paraId="44AF291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p>
        </w:tc>
        <w:tc>
          <w:tcPr>
            <w:tcW w:w="2031" w:type="dxa"/>
            <w:tcBorders>
              <w:top w:val="single" w:color="auto" w:sz="4" w:space="0"/>
              <w:bottom w:val="single" w:color="auto" w:sz="4" w:space="0"/>
            </w:tcBorders>
            <w:vAlign w:val="center"/>
          </w:tcPr>
          <w:p w14:paraId="5EF10390">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r>
    </w:tbl>
    <w:p w14:paraId="7C5ED476">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0时前、以邮件发送“投标文件（报价）方式”至采购人邮箱（swyynam15mccwz@163.com）。</w:t>
      </w:r>
    </w:p>
    <w:p w14:paraId="2F09E08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bookmarkStart w:id="11" w:name="_GoBack"/>
      <w:r>
        <w:rPr>
          <w:rFonts w:hint="eastAsia" w:ascii="仿宋_GB2312" w:hAnsi="仿宋_GB2312" w:eastAsia="仿宋_GB2312" w:cs="仿宋_GB2312"/>
          <w:sz w:val="28"/>
          <w:szCs w:val="28"/>
        </w:rPr>
        <w:t>Cara mendapatkan dokumen pengadaan: Pembeli akan mempublikasikan pengumuman pengadaan di situs web (http://www.pt-mcc15.cn/) pembeli yang relevan sebelum pukul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:00 pada tanggal </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April</w:t>
      </w:r>
      <w:r>
        <w:rPr>
          <w:rFonts w:hint="eastAsia"/>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 dan mereka yang tertarik untuk berpartisipasi dalam tanggapa</w:t>
      </w:r>
      <w:bookmarkEnd w:id="11"/>
      <w:r>
        <w:rPr>
          <w:rFonts w:hint="eastAsia" w:ascii="仿宋_GB2312" w:hAnsi="仿宋_GB2312" w:eastAsia="仿宋_GB2312" w:cs="仿宋_GB2312"/>
          <w:sz w:val="28"/>
          <w:szCs w:val="28"/>
        </w:rPr>
        <w:t xml:space="preserve">n (kutipan) harus mengirimkan "Metode dokumen tender (kutipan)" melalui email（swyynam15mccwz@163.com） ke kotak surat pembeli sebelum pukul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 xml:space="preserve"> pada tanggal </w:t>
      </w:r>
      <w:r>
        <w:rPr>
          <w:rFonts w:hint="eastAsia" w:ascii="仿宋_GB2312" w:hAnsi="仿宋_GB2312" w:eastAsia="仿宋_GB2312" w:cs="仿宋_GB2312"/>
          <w:sz w:val="28"/>
          <w:szCs w:val="28"/>
          <w:lang w:val="en-US" w:eastAsia="zh-CN"/>
        </w:rPr>
        <w:t xml:space="preserve">25 </w:t>
      </w:r>
      <w:r>
        <w:rPr>
          <w:rFonts w:hint="eastAsia"/>
        </w:rPr>
        <w:t xml:space="preserve"> </w:t>
      </w:r>
      <w:r>
        <w:rPr>
          <w:rFonts w:hint="eastAsia" w:ascii="仿宋_GB2312" w:hAnsi="仿宋_GB2312" w:eastAsia="仿宋_GB2312" w:cs="仿宋_GB2312"/>
          <w:sz w:val="28"/>
          <w:szCs w:val="28"/>
        </w:rPr>
        <w:t>April</w:t>
      </w:r>
      <w:r>
        <w:rPr>
          <w:rFonts w:hint="eastAsia"/>
        </w:rPr>
        <w:t xml:space="preserve"> </w:t>
      </w:r>
      <w:r>
        <w:rPr>
          <w:rFonts w:hint="eastAsia"/>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w:t>
      </w:r>
    </w:p>
    <w:p w14:paraId="7141584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0时前以邮件方式发送至采购人邮箱（swyynam15mccwz@163.com）。</w:t>
      </w:r>
    </w:p>
    <w:p w14:paraId="79631CE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 jatuh di tanggal</w:t>
      </w:r>
      <w:r>
        <w:rPr>
          <w:rFonts w:hint="eastAsia" w:ascii="仿宋_GB2312" w:hAnsi="仿宋_GB2312" w:eastAsia="仿宋_GB2312" w:cs="仿宋_GB2312"/>
          <w:sz w:val="28"/>
          <w:szCs w:val="28"/>
          <w:lang w:val="en-US" w:eastAsia="zh-CN"/>
        </w:rPr>
        <w:t xml:space="preserve"> 25 </w:t>
      </w:r>
      <w:r>
        <w:rPr>
          <w:rFonts w:hint="eastAsia" w:ascii="仿宋_GB2312" w:hAnsi="仿宋_GB2312" w:eastAsia="仿宋_GB2312" w:cs="仿宋_GB2312"/>
          <w:sz w:val="28"/>
          <w:szCs w:val="28"/>
        </w:rPr>
        <w:t>April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325B7B0D">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7C6F0193">
      <w:pPr>
        <w:pStyle w:val="16"/>
        <w:keepNext w:val="0"/>
        <w:keepLines w:val="0"/>
        <w:pageBreakBefore w:val="0"/>
        <w:numPr>
          <w:ilvl w:val="0"/>
          <w:numId w:val="0"/>
        </w:numPr>
        <w:tabs>
          <w:tab w:val="clear" w:pos="360"/>
          <w:tab w:val="clear" w:pos="1814"/>
        </w:tabs>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28C17F3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14:paraId="0DFF7BB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14:paraId="7436570E">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5BA791A8">
      <w:pPr>
        <w:pStyle w:val="16"/>
        <w:keepNext w:val="0"/>
        <w:keepLines w:val="0"/>
        <w:pageBreakBefore w:val="0"/>
        <w:widowControl/>
        <w:numPr>
          <w:ilvl w:val="0"/>
          <w:numId w:val="0"/>
        </w:numPr>
        <w:tabs>
          <w:tab w:val="clear" w:pos="360"/>
          <w:tab w:val="clear" w:pos="1814"/>
        </w:tabs>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Waktu pengiriman: Peralatan akan tiba di lokasi proyek konsentrator tembaga Oman dalam waktu 10 hari setelah menerima pemberitahuan tertulis dari pihak tender.</w:t>
      </w:r>
    </w:p>
    <w:p w14:paraId="00019BC2">
      <w:pPr>
        <w:pStyle w:val="16"/>
        <w:keepNext w:val="0"/>
        <w:keepLines w:val="0"/>
        <w:pageBreakBefore w:val="0"/>
        <w:widowControl/>
        <w:numPr>
          <w:ilvl w:val="1"/>
          <w:numId w:val="0"/>
        </w:numPr>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8.付款方式：凭增值税专用发票税票、结算单于次月10日前交由承租方，承租方收到出租方交来的结算资料后一</w:t>
      </w:r>
      <w:r>
        <w:rPr>
          <w:rFonts w:hint="eastAsia" w:ascii="仿宋" w:hAnsi="仿宋" w:eastAsia="仿宋" w:cs="仿宋"/>
          <w:b w:val="0"/>
          <w:bCs/>
          <w:sz w:val="28"/>
          <w:szCs w:val="28"/>
          <w:lang w:val="en-US" w:eastAsia="zh-CN"/>
        </w:rPr>
        <w:t>个月</w:t>
      </w:r>
      <w:r>
        <w:rPr>
          <w:rFonts w:hint="eastAsia" w:ascii="仿宋" w:hAnsi="仿宋" w:eastAsia="仿宋" w:cs="仿宋"/>
          <w:b w:val="0"/>
          <w:bCs/>
          <w:sz w:val="28"/>
          <w:szCs w:val="28"/>
        </w:rPr>
        <w:t>内支付当期结算租金的100%。设备启用当月与退场当月按实际使用时间结算。</w:t>
      </w:r>
    </w:p>
    <w:p w14:paraId="412C1A7F">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1FFA79A7">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6112243A">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404D0C6D">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14:paraId="72E8BC4A">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5514150B">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1A086488">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063F4157">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014FBC1F">
      <w:pPr>
        <w:keepNext w:val="0"/>
        <w:keepLines w:val="0"/>
        <w:pageBreakBefore w:val="0"/>
        <w:kinsoku/>
        <w:wordWrap/>
        <w:overflowPunct/>
        <w:topLinePunct w:val="0"/>
        <w:bidi w:val="0"/>
        <w:adjustRightInd/>
        <w:snapToGrid/>
        <w:spacing w:after="0" w:line="240" w:lineRule="auto"/>
        <w:ind w:right="0"/>
        <w:outlineLvl w:val="9"/>
        <w:rPr>
          <w:rFonts w:hint="eastAsia"/>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fldChar w:fldCharType="end"/>
      </w:r>
    </w:p>
    <w:p w14:paraId="4CE106FA">
      <w:pPr>
        <w:keepNext w:val="0"/>
        <w:keepLines w:val="0"/>
        <w:pageBreakBefore w:val="0"/>
        <w:kinsoku/>
        <w:wordWrap/>
        <w:overflowPunct/>
        <w:topLinePunct w:val="0"/>
        <w:bidi w:val="0"/>
        <w:adjustRightInd/>
        <w:snapToGrid/>
        <w:spacing w:after="0" w:line="240" w:lineRule="auto"/>
        <w:ind w:right="0"/>
        <w:outlineLvl w:val="9"/>
        <w:rPr>
          <w:rFonts w:hint="eastAsia"/>
        </w:rPr>
      </w:pPr>
    </w:p>
    <w:p w14:paraId="1B392A8D">
      <w:pPr>
        <w:keepNext w:val="0"/>
        <w:keepLines w:val="0"/>
        <w:pageBreakBefore w:val="0"/>
        <w:kinsoku/>
        <w:wordWrap/>
        <w:overflowPunct/>
        <w:topLinePunct w:val="0"/>
        <w:bidi w:val="0"/>
        <w:adjustRightInd/>
        <w:snapToGrid/>
        <w:spacing w:after="0" w:line="240" w:lineRule="auto"/>
        <w:ind w:right="0"/>
        <w:outlineLvl w:val="9"/>
        <w:rPr>
          <w:rStyle w:val="15"/>
          <w:rFonts w:hint="eastAsia" w:ascii="仿宋_GB2312" w:hAnsi="仿宋_GB2312" w:eastAsia="仿宋_GB2312" w:cs="仿宋_GB2312"/>
          <w:sz w:val="28"/>
          <w:szCs w:val="28"/>
        </w:rPr>
      </w:pPr>
    </w:p>
    <w:p w14:paraId="716F1816">
      <w:pPr>
        <w:pStyle w:val="2"/>
        <w:rPr>
          <w:rStyle w:val="15"/>
          <w:rFonts w:hint="eastAsia" w:ascii="仿宋_GB2312" w:hAnsi="仿宋_GB2312" w:eastAsia="仿宋_GB2312" w:cs="仿宋_GB2312"/>
          <w:sz w:val="28"/>
          <w:szCs w:val="28"/>
        </w:rPr>
      </w:pPr>
    </w:p>
    <w:p w14:paraId="3E724D3B">
      <w:pPr>
        <w:pStyle w:val="3"/>
        <w:rPr>
          <w:rStyle w:val="15"/>
          <w:rFonts w:hint="eastAsia" w:ascii="仿宋_GB2312" w:hAnsi="仿宋_GB2312" w:eastAsia="仿宋_GB2312" w:cs="仿宋_GB2312"/>
          <w:sz w:val="28"/>
          <w:szCs w:val="28"/>
        </w:rPr>
      </w:pPr>
    </w:p>
    <w:p w14:paraId="2FA4E4B3">
      <w:pPr>
        <w:pStyle w:val="3"/>
        <w:rPr>
          <w:rStyle w:val="15"/>
          <w:rFonts w:hint="eastAsia" w:ascii="仿宋_GB2312" w:hAnsi="仿宋_GB2312" w:eastAsia="仿宋_GB2312" w:cs="仿宋_GB2312"/>
          <w:sz w:val="28"/>
          <w:szCs w:val="28"/>
        </w:rPr>
      </w:pPr>
    </w:p>
    <w:p w14:paraId="415DDCBF">
      <w:pPr>
        <w:pStyle w:val="3"/>
        <w:rPr>
          <w:rStyle w:val="15"/>
          <w:rFonts w:hint="eastAsia" w:ascii="仿宋_GB2312" w:hAnsi="仿宋_GB2312" w:eastAsia="仿宋_GB2312" w:cs="仿宋_GB2312"/>
          <w:sz w:val="28"/>
          <w:szCs w:val="28"/>
        </w:rPr>
      </w:pPr>
    </w:p>
    <w:p w14:paraId="12A4D7B5">
      <w:pPr>
        <w:pStyle w:val="3"/>
        <w:rPr>
          <w:rStyle w:val="15"/>
          <w:rFonts w:hint="eastAsia" w:ascii="仿宋_GB2312" w:hAnsi="仿宋_GB2312" w:eastAsia="仿宋_GB2312" w:cs="仿宋_GB2312"/>
          <w:sz w:val="28"/>
          <w:szCs w:val="28"/>
        </w:rPr>
      </w:pPr>
    </w:p>
    <w:p w14:paraId="3C1B4FDA">
      <w:pPr>
        <w:pStyle w:val="3"/>
        <w:rPr>
          <w:rStyle w:val="15"/>
          <w:rFonts w:hint="eastAsia" w:ascii="仿宋_GB2312" w:hAnsi="仿宋_GB2312" w:eastAsia="仿宋_GB2312" w:cs="仿宋_GB2312"/>
          <w:sz w:val="28"/>
          <w:szCs w:val="28"/>
        </w:rPr>
      </w:pPr>
    </w:p>
    <w:p w14:paraId="50F605A1">
      <w:pPr>
        <w:pStyle w:val="3"/>
        <w:rPr>
          <w:rStyle w:val="15"/>
          <w:rFonts w:hint="eastAsia" w:ascii="仿宋_GB2312" w:hAnsi="仿宋_GB2312" w:eastAsia="仿宋_GB2312" w:cs="仿宋_GB2312"/>
          <w:sz w:val="28"/>
          <w:szCs w:val="28"/>
        </w:rPr>
      </w:pPr>
    </w:p>
    <w:p w14:paraId="3DC01F1A">
      <w:pPr>
        <w:pStyle w:val="3"/>
        <w:rPr>
          <w:rStyle w:val="15"/>
          <w:rFonts w:hint="eastAsia" w:ascii="仿宋_GB2312" w:hAnsi="仿宋_GB2312" w:eastAsia="仿宋_GB2312" w:cs="仿宋_GB2312"/>
          <w:sz w:val="28"/>
          <w:szCs w:val="28"/>
        </w:rPr>
      </w:pPr>
    </w:p>
    <w:p w14:paraId="38A20801">
      <w:pPr>
        <w:spacing w:line="360" w:lineRule="auto"/>
        <w:rPr>
          <w:rFonts w:hint="eastAsia" w:ascii="楷体" w:hAnsi="楷体" w:eastAsia="楷体" w:cs="楷体"/>
          <w:b/>
          <w:bCs/>
          <w:sz w:val="28"/>
          <w:szCs w:val="28"/>
        </w:rPr>
      </w:pP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投标人应仔细阅读和检查招标文件的全部内容。如发现内容或附件不全，应及时向采购方提出，以便补齐。如有疑问，应按在</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24</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April</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 xml:space="preserve"> April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1C891792">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auto"/>
          <w:sz w:val="28"/>
          <w:szCs w:val="28"/>
        </w:rPr>
        <w:t>印尼盾。</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rPr>
          <w:color w:val="auto"/>
        </w:rPr>
        <w:fldChar w:fldCharType="begin"/>
      </w:r>
      <w:r>
        <w:rPr>
          <w:color w:val="auto"/>
        </w:rPr>
        <w:instrText xml:space="preserve"> HYPERLINK "mailto:swyynam15mccwz@163.com" </w:instrText>
      </w:r>
      <w:r>
        <w:rPr>
          <w:color w:val="auto"/>
        </w:rP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color w:val="auto"/>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方通知后10天内设备到达到指定地点。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因项目地处境外，投标的供应商不能按照招标文件要求缴纳标书费及投标保证金。经商议，免除缴纳标书费及投标保证金。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proyek tersebut berlokasi di luar negeri, pemasok penawaran tidak dapat membayar biaya penawaran dan setoran penawaran sesuai dengan persyaratan dokumen penawaran. Setelah negosiasi, pembayaran biaya tender dan setoran penawaran akan dibebaskan.</w:t>
      </w:r>
    </w:p>
    <w:p w14:paraId="3693E34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rPr>
        <w:t>履带吊、汽车吊、装载机、平板车、随车吊租赁服务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auto"/>
          <w:sz w:val="21"/>
          <w:szCs w:val="21"/>
          <w:u w:val="single"/>
        </w:rPr>
        <w:t>Derek perayap, derek truk, pemuat, truk bak datar, derek yang dipasang di truk</w:t>
      </w:r>
      <w:r>
        <w:rPr>
          <w:rFonts w:hint="eastAsia" w:ascii="方正小标宋简体" w:hAnsi="方正小标宋简体" w:eastAsia="方正小标宋简体" w:cs="方正小标宋简体"/>
          <w:b/>
          <w:bCs/>
          <w:color w:val="auto"/>
          <w:sz w:val="21"/>
          <w:szCs w:val="21"/>
        </w:rPr>
        <w:t xml:space="preserve"> beroda</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-W0</w:t>
      </w:r>
      <w:r>
        <w:rPr>
          <w:rFonts w:hint="eastAsia" w:ascii="宋体" w:hAnsi="宋体"/>
          <w:b/>
          <w:bCs/>
          <w:sz w:val="32"/>
          <w:szCs w:val="32"/>
          <w:lang w:val="en-US" w:eastAsia="zh-CN"/>
        </w:rPr>
        <w:t>10</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9C3BBF1">
      <w:pPr>
        <w:spacing w:line="120" w:lineRule="auto"/>
        <w:jc w:val="left"/>
        <w:rPr>
          <w:rFonts w:hint="eastAsia" w:ascii="仿宋_GB2312" w:hAnsi="仿宋_GB2312" w:eastAsia="仿宋_GB2312" w:cs="仿宋_GB2312"/>
          <w:b/>
          <w:bCs/>
          <w:sz w:val="28"/>
          <w:szCs w:val="28"/>
        </w:rPr>
      </w:pPr>
      <w:bookmarkStart w:id="2" w:name="_Toc39938034"/>
      <w:bookmarkStart w:id="3" w:name="_Toc2521"/>
      <w:bookmarkStart w:id="4" w:name="_Toc40207132"/>
      <w:bookmarkStart w:id="5" w:name="_Toc42237257"/>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u w:val="single"/>
        </w:rPr>
        <w:t>履带吊、汽车吊、装载机、平板车、随车吊</w:t>
      </w:r>
      <w:r>
        <w:rPr>
          <w:rFonts w:hint="eastAsia" w:ascii="仿宋_GB2312" w:hAnsi="仿宋_GB2312" w:eastAsia="仿宋_GB2312" w:cs="仿宋_GB2312"/>
          <w:sz w:val="28"/>
          <w:szCs w:val="28"/>
        </w:rPr>
        <w:t>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w:t>
      </w:r>
      <w:r>
        <w:rPr>
          <w:rFonts w:hint="eastAsia" w:ascii="仿宋_GB2312" w:hAnsi="仿宋_GB2312" w:eastAsia="仿宋_GB2312" w:cs="仿宋_GB2312"/>
          <w:sz w:val="28"/>
          <w:szCs w:val="28"/>
          <w:u w:val="single"/>
        </w:rPr>
        <w:t>Derek perayap, derek truk, pemuat, truk bak datar, derek yang dipasang di truk</w:t>
      </w:r>
      <w:r>
        <w:rPr>
          <w:rFonts w:hint="eastAsia" w:ascii="仿宋_GB2312" w:hAnsi="仿宋_GB2312" w:eastAsia="仿宋_GB2312" w:cs="仿宋_GB2312"/>
          <w:sz w:val="28"/>
          <w:szCs w:val="28"/>
        </w:rPr>
        <w:t xml:space="preserve"> penyewaan truk flatbed untuk proyek konsentrator tembaga Oman di Indonesia, dan bersedia mengajukan penawaran dengan total penawaran sebesar</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Rp:</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sz w:val="28"/>
          <w:szCs w:val="28"/>
        </w:rPr>
        <w:t>termasuk pajak di Indonesia (nilai tambah Rupiah). tarif pajak adalah 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06429B5A">
      <w:pPr>
        <w:pStyle w:val="3"/>
        <w:rPr>
          <w:rFonts w:hint="eastAsia" w:ascii="仿宋_GB2312" w:hAnsi="仿宋_GB2312" w:eastAsia="仿宋_GB2312" w:cs="仿宋_GB2312"/>
          <w:sz w:val="28"/>
          <w:szCs w:val="28"/>
        </w:rPr>
      </w:pPr>
    </w:p>
    <w:p w14:paraId="4A655A49">
      <w:pPr>
        <w:spacing w:line="360" w:lineRule="auto"/>
        <w:rPr>
          <w:rFonts w:hint="eastAsia" w:ascii="仿宋_GB2312" w:hAnsi="仿宋_GB2312" w:eastAsia="仿宋_GB2312" w:cs="仿宋_GB2312"/>
          <w:sz w:val="28"/>
          <w:szCs w:val="28"/>
        </w:rPr>
      </w:pPr>
    </w:p>
    <w:p w14:paraId="20DC74AD">
      <w:pPr>
        <w:pStyle w:val="16"/>
        <w:numPr>
          <w:ilvl w:val="0"/>
          <w:numId w:val="0"/>
        </w:numPr>
        <w:tabs>
          <w:tab w:val="clear" w:pos="1814"/>
        </w:tabs>
      </w:pPr>
    </w:p>
    <w:p w14:paraId="5E21514E">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4"/>
        <w:numPr>
          <w:ilvl w:val="0"/>
          <w:numId w:val="5"/>
        </w:numPr>
        <w:ind w:firstLine="0" w:firstLineChars="0"/>
      </w:pPr>
      <w:bookmarkStart w:id="6" w:name="_Toc65848132"/>
      <w:r>
        <w:t>法定代表人（单位负责人）身份证明</w:t>
      </w:r>
      <w:bookmarkEnd w:id="6"/>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39938038"/>
      <w:bookmarkStart w:id="8" w:name="_Toc42237261"/>
      <w:bookmarkStart w:id="9" w:name="_Toc15043"/>
      <w:bookmarkStart w:id="10" w:name="_Toc40207136"/>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0BE8E747">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392B085E">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099411C3">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w:t>
      </w:r>
      <w:r>
        <w:rPr>
          <w:rFonts w:hint="eastAsia"/>
          <w:szCs w:val="22"/>
          <w:lang w:val="en-US" w:eastAsia="zh-CN"/>
        </w:rPr>
        <w:t>10</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w:t>
      </w:r>
      <w:r>
        <w:rPr>
          <w:rFonts w:hint="eastAsia"/>
          <w:szCs w:val="22"/>
          <w:lang w:val="en-US" w:eastAsia="zh-CN"/>
        </w:rPr>
        <w:t>10</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472"/>
        <w:gridCol w:w="570"/>
        <w:gridCol w:w="673"/>
        <w:gridCol w:w="1407"/>
        <w:gridCol w:w="1130"/>
        <w:gridCol w:w="1370"/>
        <w:gridCol w:w="1480"/>
        <w:gridCol w:w="1717"/>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1472"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570" w:type="dxa"/>
            <w:tcBorders>
              <w:right w:val="single" w:color="000000" w:sz="4" w:space="0"/>
            </w:tcBorders>
            <w:vAlign w:val="center"/>
          </w:tcPr>
          <w:p w14:paraId="0929456D">
            <w:pPr>
              <w:jc w:val="center"/>
              <w:rPr>
                <w:rFonts w:hint="eastAsia" w:ascii="仿宋" w:hAnsi="仿宋" w:eastAsia="仿宋"/>
                <w:b/>
                <w:szCs w:val="22"/>
              </w:rPr>
            </w:pPr>
            <w:r>
              <w:rPr>
                <w:rFonts w:hint="eastAsia" w:ascii="仿宋" w:hAnsi="仿宋" w:eastAsia="仿宋"/>
                <w:b/>
                <w:szCs w:val="22"/>
              </w:rPr>
              <w:t>数量</w:t>
            </w:r>
          </w:p>
        </w:tc>
        <w:tc>
          <w:tcPr>
            <w:tcW w:w="673" w:type="dxa"/>
            <w:tcBorders>
              <w:left w:val="single" w:color="000000" w:sz="4" w:space="0"/>
            </w:tcBorders>
            <w:vAlign w:val="center"/>
          </w:tcPr>
          <w:p w14:paraId="30E2C203">
            <w:pPr>
              <w:jc w:val="center"/>
              <w:rPr>
                <w:rFonts w:hint="eastAsia" w:ascii="仿宋" w:hAnsi="仿宋" w:eastAsia="仿宋"/>
                <w:b/>
                <w:szCs w:val="22"/>
              </w:rPr>
            </w:pPr>
            <w:r>
              <w:rPr>
                <w:rFonts w:hint="eastAsia" w:ascii="仿宋" w:hAnsi="仿宋" w:eastAsia="仿宋"/>
                <w:b/>
              </w:rPr>
              <w:t>租赁期(月）</w:t>
            </w:r>
          </w:p>
        </w:tc>
        <w:tc>
          <w:tcPr>
            <w:tcW w:w="1407"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30" w:type="dxa"/>
            <w:tcBorders>
              <w:right w:val="single" w:color="000000" w:sz="4" w:space="0"/>
            </w:tcBorders>
            <w:vAlign w:val="center"/>
          </w:tcPr>
          <w:p w14:paraId="46EB0DAB">
            <w:pPr>
              <w:jc w:val="center"/>
              <w:rPr>
                <w:sz w:val="24"/>
                <w:szCs w:val="32"/>
              </w:rPr>
            </w:pPr>
            <w:r>
              <w:rPr>
                <w:rFonts w:hint="eastAsia" w:ascii="仿宋" w:hAnsi="仿宋" w:eastAsia="仿宋"/>
                <w:b/>
                <w:szCs w:val="22"/>
              </w:rPr>
              <w:t>加班单价印尼盾/小时/台</w:t>
            </w:r>
          </w:p>
        </w:tc>
        <w:tc>
          <w:tcPr>
            <w:tcW w:w="1370" w:type="dxa"/>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480"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w:t>
            </w:r>
            <w:r>
              <w:rPr>
                <w:rFonts w:hint="eastAsia" w:ascii="仿宋" w:hAnsi="仿宋" w:eastAsia="仿宋"/>
                <w:b/>
                <w:szCs w:val="22"/>
                <w:lang w:val="en-US" w:eastAsia="zh-CN"/>
              </w:rPr>
              <w:t>2</w:t>
            </w:r>
            <w:r>
              <w:rPr>
                <w:rFonts w:hint="eastAsia" w:ascii="仿宋" w:hAnsi="仿宋" w:eastAsia="仿宋"/>
                <w:b/>
                <w:szCs w:val="22"/>
              </w:rPr>
              <w:t>%）租赁总金额（印尼盾）</w:t>
            </w:r>
          </w:p>
        </w:tc>
        <w:tc>
          <w:tcPr>
            <w:tcW w:w="1717" w:type="dxa"/>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478" w:type="dxa"/>
            <w:vAlign w:val="center"/>
          </w:tcPr>
          <w:p w14:paraId="589F3FBA">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1</w:t>
            </w:r>
          </w:p>
        </w:tc>
        <w:tc>
          <w:tcPr>
            <w:tcW w:w="2715" w:type="dxa"/>
            <w:gridSpan w:val="3"/>
            <w:tcBorders>
              <w:right w:val="single" w:color="000000" w:sz="4" w:space="0"/>
            </w:tcBorders>
            <w:vAlign w:val="center"/>
          </w:tcPr>
          <w:p w14:paraId="4634AF7B">
            <w:pPr>
              <w:keepNext w:val="0"/>
              <w:keepLines w:val="0"/>
              <w:widowControl/>
              <w:suppressLineNumbers w:val="0"/>
              <w:jc w:val="center"/>
              <w:textAlignment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详见合同清单</w:t>
            </w:r>
          </w:p>
        </w:tc>
        <w:tc>
          <w:tcPr>
            <w:tcW w:w="1407" w:type="dxa"/>
            <w:tcBorders>
              <w:right w:val="single" w:color="000000" w:sz="4" w:space="0"/>
            </w:tcBorders>
            <w:vAlign w:val="center"/>
          </w:tcPr>
          <w:p w14:paraId="08123120">
            <w:pPr>
              <w:jc w:val="center"/>
              <w:rPr>
                <w:rFonts w:hint="eastAsia" w:ascii="宋体" w:hAnsi="宋体" w:cs="宋体"/>
                <w:bCs/>
                <w:szCs w:val="21"/>
              </w:rPr>
            </w:pPr>
          </w:p>
        </w:tc>
        <w:tc>
          <w:tcPr>
            <w:tcW w:w="1130" w:type="dxa"/>
            <w:tcBorders>
              <w:left w:val="single" w:color="000000" w:sz="4" w:space="0"/>
            </w:tcBorders>
            <w:vAlign w:val="center"/>
          </w:tcPr>
          <w:p w14:paraId="6BC5805F">
            <w:pPr>
              <w:jc w:val="center"/>
              <w:rPr>
                <w:rFonts w:hint="eastAsia" w:ascii="宋体" w:hAnsi="宋体" w:cs="宋体"/>
                <w:bCs/>
                <w:szCs w:val="21"/>
              </w:rPr>
            </w:pPr>
          </w:p>
        </w:tc>
        <w:tc>
          <w:tcPr>
            <w:tcW w:w="1370" w:type="dxa"/>
            <w:tcBorders>
              <w:left w:val="single" w:color="000000" w:sz="4" w:space="0"/>
            </w:tcBorders>
            <w:vAlign w:val="center"/>
          </w:tcPr>
          <w:p w14:paraId="6601616F">
            <w:pPr>
              <w:jc w:val="center"/>
              <w:rPr>
                <w:rFonts w:hint="eastAsia" w:ascii="宋体" w:hAnsi="宋体" w:cs="宋体"/>
                <w:bCs/>
                <w:szCs w:val="21"/>
              </w:rPr>
            </w:pPr>
          </w:p>
        </w:tc>
        <w:tc>
          <w:tcPr>
            <w:tcW w:w="1480" w:type="dxa"/>
            <w:tcBorders>
              <w:right w:val="single" w:color="000000" w:sz="4" w:space="0"/>
            </w:tcBorders>
            <w:vAlign w:val="center"/>
          </w:tcPr>
          <w:p w14:paraId="17582521">
            <w:pPr>
              <w:jc w:val="center"/>
              <w:rPr>
                <w:rFonts w:hint="eastAsia" w:ascii="宋体" w:hAnsi="宋体" w:cs="宋体"/>
                <w:bCs/>
                <w:szCs w:val="21"/>
              </w:rPr>
            </w:pPr>
          </w:p>
        </w:tc>
        <w:tc>
          <w:tcPr>
            <w:tcW w:w="1717" w:type="dxa"/>
            <w:tcBorders>
              <w:right w:val="single" w:color="000000" w:sz="4" w:space="0"/>
            </w:tcBorders>
            <w:vAlign w:val="center"/>
          </w:tcPr>
          <w:p w14:paraId="49229119">
            <w:pPr>
              <w:keepNext w:val="0"/>
              <w:keepLines w:val="0"/>
              <w:widowControl/>
              <w:suppressLineNumbers w:val="0"/>
              <w:jc w:val="center"/>
              <w:textAlignment w:val="center"/>
              <w:rPr>
                <w:rFonts w:hint="eastAsia" w:ascii="宋体" w:hAnsi="宋体" w:cs="宋体"/>
                <w:bCs/>
                <w:sz w:val="22"/>
                <w:szCs w:val="22"/>
              </w:rPr>
            </w:pP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100" w:type="dxa"/>
            <w:gridSpan w:val="7"/>
            <w:vAlign w:val="center"/>
          </w:tcPr>
          <w:p w14:paraId="47B87F8D">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合计不含税总价 Rp:(A)</w:t>
            </w:r>
          </w:p>
        </w:tc>
        <w:tc>
          <w:tcPr>
            <w:tcW w:w="3197" w:type="dxa"/>
            <w:gridSpan w:val="2"/>
            <w:tcBorders>
              <w:right w:val="single" w:color="000000" w:sz="4" w:space="0"/>
            </w:tcBorders>
            <w:vAlign w:val="center"/>
          </w:tcPr>
          <w:p w14:paraId="23FDEC98">
            <w:pPr>
              <w:rPr>
                <w:rFonts w:hint="eastAsia" w:ascii="宋体" w:hAnsi="宋体" w:cs="宋体"/>
                <w:bCs/>
                <w:szCs w:val="21"/>
              </w:rPr>
            </w:pPr>
          </w:p>
        </w:tc>
      </w:tr>
      <w:tr w14:paraId="1065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100" w:type="dxa"/>
            <w:gridSpan w:val="7"/>
            <w:vAlign w:val="center"/>
          </w:tcPr>
          <w:p w14:paraId="462639B2">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合计税前金额 Rp:(B=A*11/12)</w:t>
            </w:r>
          </w:p>
        </w:tc>
        <w:tc>
          <w:tcPr>
            <w:tcW w:w="3197" w:type="dxa"/>
            <w:gridSpan w:val="2"/>
            <w:tcBorders>
              <w:right w:val="single" w:color="000000" w:sz="4" w:space="0"/>
            </w:tcBorders>
            <w:vAlign w:val="center"/>
          </w:tcPr>
          <w:p w14:paraId="18A716C5">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100" w:type="dxa"/>
            <w:gridSpan w:val="7"/>
            <w:vAlign w:val="center"/>
          </w:tcPr>
          <w:p w14:paraId="7CB1E6C1">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 xml:space="preserve">增值税(12%)金额 Rp:(C=B*12%)  </w:t>
            </w:r>
          </w:p>
        </w:tc>
        <w:tc>
          <w:tcPr>
            <w:tcW w:w="3197" w:type="dxa"/>
            <w:gridSpan w:val="2"/>
            <w:tcBorders>
              <w:right w:val="single" w:color="000000" w:sz="4" w:space="0"/>
            </w:tcBorders>
            <w:vAlign w:val="center"/>
          </w:tcPr>
          <w:p w14:paraId="429DE1D2">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100" w:type="dxa"/>
            <w:gridSpan w:val="7"/>
            <w:vAlign w:val="center"/>
          </w:tcPr>
          <w:p w14:paraId="3251C6F4">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合计含税总价 Rp:(A+C)</w:t>
            </w:r>
          </w:p>
        </w:tc>
        <w:tc>
          <w:tcPr>
            <w:tcW w:w="3197" w:type="dxa"/>
            <w:gridSpan w:val="2"/>
            <w:tcBorders>
              <w:right w:val="single" w:color="000000" w:sz="4" w:space="0"/>
            </w:tcBorders>
            <w:vAlign w:val="center"/>
          </w:tcPr>
          <w:p w14:paraId="5F63B1F4">
            <w:pPr>
              <w:rPr>
                <w:rFonts w:hint="eastAsia" w:ascii="宋体" w:hAnsi="宋体" w:cs="宋体"/>
                <w:bCs/>
                <w:szCs w:val="21"/>
              </w:rPr>
            </w:pPr>
          </w:p>
        </w:tc>
      </w:tr>
      <w:tr w14:paraId="38E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r>
      <w:tr w14:paraId="52F6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r>
    </w:tbl>
    <w:p w14:paraId="79A8390E">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两位司机</w:t>
      </w:r>
      <w:r>
        <w:rPr>
          <w:rFonts w:hint="eastAsia"/>
          <w:szCs w:val="22"/>
        </w:rPr>
        <w:t>；由设备出租方提供操作司机的工资，社会保险（包括但不限于社保、劳动保护、工伤保险和意外伤害保险等）、交通、防疫措施费用。承租方承担设备燃油、食宿</w:t>
      </w:r>
      <w:r>
        <w:rPr>
          <w:rFonts w:hint="eastAsia"/>
          <w:szCs w:val="22"/>
          <w:lang w:val="en-US" w:eastAsia="zh-CN"/>
        </w:rPr>
        <w:t>及营地到工地的交通</w:t>
      </w:r>
      <w:r>
        <w:rPr>
          <w:rFonts w:hint="eastAsia"/>
          <w:szCs w:val="22"/>
        </w:rPr>
        <w:t>。出租方已充分考虑各类风险因素的综合单价。本价格将作为最终结算的依据，除双方另有约定外结算时不再调整。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rFonts w:hint="default"/>
          <w:szCs w:val="22"/>
          <w:lang w:val="en-US" w:eastAsia="zh-CN"/>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设备维修、保养和故障的</w:t>
      </w:r>
      <w:r>
        <w:rPr>
          <w:rFonts w:hint="eastAsia"/>
          <w:szCs w:val="22"/>
          <w:lang w:val="en-US" w:eastAsia="zh-CN"/>
        </w:rPr>
        <w:t>总</w:t>
      </w:r>
      <w:r>
        <w:rPr>
          <w:rFonts w:hint="eastAsia"/>
          <w:szCs w:val="22"/>
        </w:rPr>
        <w:t>处理</w:t>
      </w:r>
      <w:r>
        <w:rPr>
          <w:rFonts w:hint="eastAsia"/>
          <w:szCs w:val="22"/>
          <w:lang w:val="en-US" w:eastAsia="zh-CN"/>
        </w:rPr>
        <w:t>时间不可超过48小时，超出时长将扣除设备租赁费。</w:t>
      </w:r>
    </w:p>
    <w:p w14:paraId="353A2703">
      <w:pPr>
        <w:rPr>
          <w:rFonts w:hint="eastAsia"/>
          <w:szCs w:val="22"/>
        </w:rPr>
      </w:pPr>
      <w:r>
        <w:rPr>
          <w:rFonts w:hint="eastAsia"/>
          <w:szCs w:val="22"/>
        </w:rPr>
        <w:t>7）Bertanggung jawab atas service, maintenance, dan penanganan kerusakan unit untuk memastikan kondisi teknis mesin tetap optimal. Kinerja unit harus memenuhi kebutuhan di lokasi dan dapat digunakan secara normal, dengan setiap unit mampu beroperasi selama 24 jam. Jika terjadi kerusakan, service atau penggantian harus dilakukan segera di lokasi. Total waktu untuk service, maintenance, dan penanganan kerusakan tidak boleh melebihi 48 jam. Jika melebihi batas waktu tersebut, biaya sewa unit akan dikurangi.</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451B8E0">
      <w:pPr>
        <w:jc w:val="center"/>
        <w:rPr>
          <w:szCs w:val="22"/>
        </w:rPr>
      </w:pPr>
      <w:r>
        <w:rPr>
          <w:szCs w:val="22"/>
        </w:rPr>
        <w:t>Perhitungan waktu sewa, konfirmasi tanggal mulai dan berakhir.</w:t>
      </w:r>
    </w:p>
    <w:p w14:paraId="661D4EC3">
      <w:pPr>
        <w:jc w:val="center"/>
        <w:rPr>
          <w:rFonts w:hint="eastAsia" w:eastAsia="宋体"/>
          <w:szCs w:val="22"/>
          <w:lang w:eastAsia="zh-CN"/>
        </w:rPr>
      </w:pPr>
    </w:p>
    <w:p w14:paraId="1B9A4150">
      <w:pPr>
        <w:rPr>
          <w:rFonts w:hint="default"/>
          <w:szCs w:val="22"/>
          <w:lang w:val="en-US" w:eastAsia="zh-CN"/>
        </w:rPr>
      </w:pPr>
      <w:r>
        <w:rPr>
          <w:rFonts w:hint="eastAsia"/>
          <w:szCs w:val="22"/>
          <w:lang w:val="en-US" w:eastAsia="zh-CN"/>
        </w:rPr>
        <w:t>租赁时间具体结算标准：</w:t>
      </w:r>
    </w:p>
    <w:p w14:paraId="7F6D85AA">
      <w:pPr>
        <w:rPr>
          <w:rFonts w:hint="eastAsia"/>
          <w:szCs w:val="22"/>
        </w:rPr>
      </w:pPr>
      <w:r>
        <w:rPr>
          <w:rFonts w:hint="eastAsia"/>
          <w:szCs w:val="22"/>
        </w:rPr>
        <w:t>a) Jika jam kerja kurang dari 300 Jam dengan 1 Operator, maka akan dihitung 300 jam.</w:t>
      </w:r>
    </w:p>
    <w:p w14:paraId="29B99347">
      <w:pPr>
        <w:rPr>
          <w:rFonts w:hint="eastAsia"/>
          <w:szCs w:val="22"/>
        </w:rPr>
      </w:pPr>
      <w:r>
        <w:rPr>
          <w:rFonts w:hint="eastAsia"/>
          <w:szCs w:val="22"/>
        </w:rPr>
        <w:t>如果工作时间少于 300小时且只有1名操作员，则将按 300 小时计算。</w:t>
      </w:r>
    </w:p>
    <w:p w14:paraId="2A39159B">
      <w:pPr>
        <w:rPr>
          <w:rFonts w:hint="eastAsia"/>
          <w:szCs w:val="22"/>
        </w:rPr>
      </w:pPr>
      <w:r>
        <w:rPr>
          <w:rFonts w:hint="eastAsia"/>
          <w:szCs w:val="22"/>
        </w:rPr>
        <w:t>b) Jika Jam kerja lebih dari 300 jam dengan 1 Operator, maka akan dihitung sesuai tarif lembur yang disepakati</w:t>
      </w:r>
    </w:p>
    <w:p w14:paraId="5660BF94">
      <w:pPr>
        <w:rPr>
          <w:rFonts w:hint="eastAsia"/>
          <w:szCs w:val="22"/>
        </w:rPr>
      </w:pPr>
      <w:r>
        <w:rPr>
          <w:rFonts w:hint="eastAsia"/>
          <w:szCs w:val="22"/>
        </w:rPr>
        <w:t>如果工作时间超过 300小时且只有1名操作员，则将按照双方约定的加班费计算。</w:t>
      </w:r>
    </w:p>
    <w:p w14:paraId="423135EE">
      <w:pPr>
        <w:rPr>
          <w:rFonts w:hint="eastAsia"/>
          <w:szCs w:val="22"/>
        </w:rPr>
      </w:pPr>
      <w:r>
        <w:rPr>
          <w:rFonts w:hint="eastAsia"/>
          <w:szCs w:val="22"/>
        </w:rPr>
        <w:t>c) Jika Jam kerja lebih dari 300 Jam dengan 2 Operator, maka akan dihitung 540 Jam sesuai tarif yang disepakati</w:t>
      </w:r>
    </w:p>
    <w:p w14:paraId="1387811E">
      <w:pPr>
        <w:rPr>
          <w:rFonts w:hint="eastAsia"/>
          <w:szCs w:val="22"/>
        </w:rPr>
      </w:pPr>
      <w:r>
        <w:rPr>
          <w:rFonts w:hint="eastAsia"/>
          <w:szCs w:val="22"/>
        </w:rPr>
        <w:t>如果工作时间超过 300小时且有2名操作员，则将按540小时计算，按照双方约定的费用标准。</w:t>
      </w:r>
    </w:p>
    <w:p w14:paraId="2C3EAB7B">
      <w:pPr>
        <w:rPr>
          <w:rFonts w:hint="eastAsia"/>
          <w:szCs w:val="22"/>
        </w:rPr>
      </w:pPr>
      <w:r>
        <w:rPr>
          <w:rFonts w:hint="eastAsia"/>
          <w:szCs w:val="22"/>
        </w:rPr>
        <w:t>d) Jika iam keria lebih dari 540 Jam dengan 2 Operator, maka akan dihitung lembur sesuai tarif yang disepakati</w:t>
      </w:r>
    </w:p>
    <w:p w14:paraId="4FF35203">
      <w:pPr>
        <w:rPr>
          <w:rFonts w:hint="eastAsia"/>
          <w:szCs w:val="22"/>
        </w:rPr>
      </w:pPr>
      <w:r>
        <w:rPr>
          <w:rFonts w:hint="eastAsia"/>
          <w:szCs w:val="22"/>
        </w:rPr>
        <w:t>如果工作时间超过540小时且有2名操作员，则将按双方约定的加班费计算。</w:t>
      </w:r>
    </w:p>
    <w:p w14:paraId="432C3EB4">
      <w:pPr>
        <w:rPr>
          <w:rFonts w:hint="eastAsia"/>
          <w:szCs w:val="22"/>
        </w:rPr>
      </w:pPr>
      <w:r>
        <w:rPr>
          <w:rFonts w:hint="eastAsia"/>
          <w:szCs w:val="22"/>
        </w:rPr>
        <w:t>e) Kecuali Jam keria minimum 300 Jam dan 540 Jam tidak tercapai karena kegagalan alat atau operator, maka akandihitung jam kerja actual.</w:t>
      </w:r>
    </w:p>
    <w:p w14:paraId="2197A671">
      <w:pPr>
        <w:rPr>
          <w:rFonts w:hint="eastAsia"/>
          <w:szCs w:val="22"/>
        </w:rPr>
      </w:pPr>
      <w:r>
        <w:rPr>
          <w:rFonts w:hint="eastAsia"/>
          <w:szCs w:val="22"/>
          <w:lang w:val="en-US" w:eastAsia="zh-CN"/>
        </w:rPr>
        <w:t>因为</w:t>
      </w:r>
      <w:r>
        <w:rPr>
          <w:rFonts w:hint="eastAsia"/>
          <w:szCs w:val="22"/>
        </w:rPr>
        <w:t>设备故障或操作员原因，导致最低工作时间 300小时和540小时未达到，将按实际工作时间计算。</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rFonts w:hint="eastAsia"/>
          <w:szCs w:val="22"/>
          <w:lang w:val="en-US" w:eastAsia="zh-CN"/>
        </w:rPr>
      </w:pPr>
      <w:r>
        <w:rPr>
          <w:rFonts w:hint="eastAsia"/>
          <w:szCs w:val="22"/>
          <w:lang w:val="en-US" w:eastAsia="zh-CN"/>
        </w:rPr>
        <w:t>2）退租时，承租方提前7天须向出租方电话通知或书面通知，如提前退租，需提前30天通知出租房，出租方接到电话或书面函后，按承租方要求组织设备退场，通知退租时间为租赁费计算截止时间。</w:t>
      </w:r>
    </w:p>
    <w:p w14:paraId="350A8540">
      <w:pPr>
        <w:rPr>
          <w:rFonts w:hint="eastAsia"/>
          <w:szCs w:val="22"/>
          <w:lang w:val="en-US" w:eastAsia="zh-CN"/>
        </w:rPr>
      </w:pPr>
      <w:r>
        <w:rPr>
          <w:rFonts w:hint="eastAsia"/>
          <w:szCs w:val="22"/>
          <w:lang w:val="en-US" w:eastAsia="zh-CN"/>
        </w:rPr>
        <w:t>2）Saat mengakhiri sewa, penyewa harus memberi tahu pihak lessor melalui telepon atau pemberitahuan tertulis setidaknya 7 hari sebelumnya. Jika penyewa ingin mengakhiri sewa lebih awal, pemberitahuan harus diberikan 30 hari sebelumnya. Setelah menerima pemberitahuan melalui telepon atau surat tertulis, pihak lessor akan mengatur pemindahan unit sesuai permintaan penyewa. Waktu pemberitahuan pengakhiran sewa akan menjadi batas akhir perhitungan biaya sewa.</w:t>
      </w:r>
    </w:p>
    <w:p w14:paraId="1EF64605">
      <w:pPr>
        <w:widowControl/>
        <w:jc w:val="left"/>
        <w:rPr>
          <w:color w:val="FF0000"/>
          <w:szCs w:val="22"/>
        </w:rPr>
      </w:pP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3）支付最后一个月租赁费时，租赁设备已退场。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12F87F90">
      <w:pPr>
        <w:rPr>
          <w:szCs w:val="22"/>
        </w:rPr>
      </w:pPr>
      <w:r>
        <w:rPr>
          <w:rFonts w:hint="eastAsia"/>
          <w:szCs w:val="22"/>
        </w:rPr>
        <w:t>1</w:t>
      </w:r>
      <w:r>
        <w:rPr>
          <w:szCs w:val="22"/>
        </w:rPr>
        <w:t xml:space="preserve">. </w:t>
      </w:r>
      <w:r>
        <w:rPr>
          <w:rFonts w:hint="eastAsia"/>
          <w:szCs w:val="22"/>
        </w:rPr>
        <w:t>本合同一式</w:t>
      </w:r>
      <w:r>
        <w:rPr>
          <w:rFonts w:hint="eastAsia"/>
          <w:szCs w:val="22"/>
          <w:lang w:val="en-US" w:eastAsia="zh-CN"/>
        </w:rPr>
        <w:t>两</w:t>
      </w:r>
      <w:r>
        <w:rPr>
          <w:rFonts w:hint="eastAsia"/>
          <w:szCs w:val="22"/>
        </w:rPr>
        <w:t>份，双方各持</w:t>
      </w:r>
      <w:r>
        <w:rPr>
          <w:rFonts w:hint="eastAsia"/>
          <w:szCs w:val="22"/>
          <w:lang w:val="en-US" w:eastAsia="zh-CN"/>
        </w:rPr>
        <w:t>一</w:t>
      </w:r>
      <w:r>
        <w:rPr>
          <w:rFonts w:hint="eastAsia"/>
          <w:szCs w:val="22"/>
        </w:rPr>
        <w:t>份，具有同等法律效力。本合同的权利和义务禁止转让。</w:t>
      </w:r>
    </w:p>
    <w:p w14:paraId="3BDF752D">
      <w:pPr>
        <w:rPr>
          <w:rFonts w:hint="eastAsia"/>
          <w:szCs w:val="22"/>
        </w:rPr>
      </w:pPr>
      <w:r>
        <w:rPr>
          <w:szCs w:val="22"/>
        </w:rPr>
        <w:t xml:space="preserve">1. </w:t>
      </w:r>
      <w:r>
        <w:rPr>
          <w:rFonts w:hint="eastAsia"/>
          <w:szCs w:val="22"/>
        </w:rPr>
        <w:t>Kontrak ini dibuat dalam rangkap dua, masing-masing pihak memegang satu salinan dan mempunyai akibat hukum yang sama. Hak dan kewajiban berdasarkan kontrak ini dilarang untuk dialihkan.</w:t>
      </w:r>
    </w:p>
    <w:p w14:paraId="6FF6EE24">
      <w:pPr>
        <w:rPr>
          <w:szCs w:val="22"/>
        </w:rPr>
      </w:pPr>
      <w:r>
        <w:rPr>
          <w:rFonts w:hint="eastAsia"/>
          <w:szCs w:val="22"/>
        </w:rPr>
        <w:t>2.本合同签订时间： 202</w:t>
      </w:r>
      <w:r>
        <w:rPr>
          <w:rFonts w:hint="eastAsia"/>
          <w:szCs w:val="22"/>
          <w:lang w:val="en-US" w:eastAsia="zh-CN"/>
        </w:rPr>
        <w:t>5</w:t>
      </w:r>
      <w:r>
        <w:rPr>
          <w:rFonts w:hint="eastAsia"/>
          <w:szCs w:val="22"/>
        </w:rPr>
        <w:t>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rFonts w:hint="eastAsia" w:eastAsia="宋体"/>
          <w:szCs w:val="22"/>
          <w:lang w:eastAsia="zh-CN"/>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/202</w:t>
      </w:r>
      <w:r>
        <w:rPr>
          <w:rFonts w:hint="eastAsia"/>
          <w:szCs w:val="22"/>
          <w:lang w:val="en-US" w:eastAsia="zh-CN"/>
        </w:rPr>
        <w:t>5</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w:t>
      </w:r>
      <w:r>
        <w:rPr>
          <w:rFonts w:hint="eastAsia"/>
          <w:szCs w:val="22"/>
          <w:lang w:val="en-US" w:eastAsia="zh-CN"/>
        </w:rPr>
        <w:t xml:space="preserve"> </w:t>
      </w:r>
      <w:r>
        <w:rPr>
          <w:rFonts w:hint="eastAsia"/>
          <w:szCs w:val="22"/>
        </w:rPr>
        <w:t>Indonesia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4FB0141A">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multilevel"/>
    <w:tmpl w:val="3D5C2567"/>
    <w:lvl w:ilvl="0" w:tentative="0">
      <w:start w:val="6"/>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1E840C0"/>
    <w:rsid w:val="026F7F54"/>
    <w:rsid w:val="02767F22"/>
    <w:rsid w:val="02C404CD"/>
    <w:rsid w:val="03397A34"/>
    <w:rsid w:val="039757AF"/>
    <w:rsid w:val="03AA58BC"/>
    <w:rsid w:val="03C560A6"/>
    <w:rsid w:val="03EF0F4D"/>
    <w:rsid w:val="053E0B59"/>
    <w:rsid w:val="057E43CC"/>
    <w:rsid w:val="07420150"/>
    <w:rsid w:val="07AC122E"/>
    <w:rsid w:val="07DF6474"/>
    <w:rsid w:val="08020AB2"/>
    <w:rsid w:val="08EA2A03"/>
    <w:rsid w:val="08F35052"/>
    <w:rsid w:val="0953071D"/>
    <w:rsid w:val="099F5F28"/>
    <w:rsid w:val="0A805EAF"/>
    <w:rsid w:val="0AF33383"/>
    <w:rsid w:val="0B5C04FB"/>
    <w:rsid w:val="0B7A7A30"/>
    <w:rsid w:val="0B9642F5"/>
    <w:rsid w:val="0BEA16EF"/>
    <w:rsid w:val="0C5512E4"/>
    <w:rsid w:val="0C7C2D58"/>
    <w:rsid w:val="0CB54541"/>
    <w:rsid w:val="0CC553B6"/>
    <w:rsid w:val="0D11487C"/>
    <w:rsid w:val="0D2346E8"/>
    <w:rsid w:val="0D486E69"/>
    <w:rsid w:val="0DF51721"/>
    <w:rsid w:val="0DFF0389"/>
    <w:rsid w:val="0E0A194C"/>
    <w:rsid w:val="0E5F46DC"/>
    <w:rsid w:val="0EA209EC"/>
    <w:rsid w:val="0EA81C2F"/>
    <w:rsid w:val="0F6E74C0"/>
    <w:rsid w:val="0F711BE6"/>
    <w:rsid w:val="10AE0C25"/>
    <w:rsid w:val="115D3C51"/>
    <w:rsid w:val="11782272"/>
    <w:rsid w:val="11A16C67"/>
    <w:rsid w:val="11EC3DB1"/>
    <w:rsid w:val="12341E7D"/>
    <w:rsid w:val="13060940"/>
    <w:rsid w:val="13A230EF"/>
    <w:rsid w:val="14CC6EAC"/>
    <w:rsid w:val="152957E5"/>
    <w:rsid w:val="156E5E9F"/>
    <w:rsid w:val="15CB313D"/>
    <w:rsid w:val="16571DC8"/>
    <w:rsid w:val="173B0F39"/>
    <w:rsid w:val="17796937"/>
    <w:rsid w:val="18135B71"/>
    <w:rsid w:val="18863D18"/>
    <w:rsid w:val="19453AEF"/>
    <w:rsid w:val="197B225B"/>
    <w:rsid w:val="1A1A0E04"/>
    <w:rsid w:val="1B1024E4"/>
    <w:rsid w:val="1B296855"/>
    <w:rsid w:val="1BAC3A37"/>
    <w:rsid w:val="1BD937BC"/>
    <w:rsid w:val="1C0E6215"/>
    <w:rsid w:val="1C134E2F"/>
    <w:rsid w:val="1C4F2F8A"/>
    <w:rsid w:val="1CFB6543"/>
    <w:rsid w:val="1D6A688C"/>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F2F84"/>
    <w:rsid w:val="220E02BA"/>
    <w:rsid w:val="23955501"/>
    <w:rsid w:val="23A15BFA"/>
    <w:rsid w:val="23D36138"/>
    <w:rsid w:val="241670E3"/>
    <w:rsid w:val="24C96785"/>
    <w:rsid w:val="24F51A79"/>
    <w:rsid w:val="24F85059"/>
    <w:rsid w:val="252B2E13"/>
    <w:rsid w:val="25FE1161"/>
    <w:rsid w:val="268D0CA5"/>
    <w:rsid w:val="26AE6289"/>
    <w:rsid w:val="26CF1E7C"/>
    <w:rsid w:val="28B66659"/>
    <w:rsid w:val="29BF1437"/>
    <w:rsid w:val="2A932D4A"/>
    <w:rsid w:val="2AC54752"/>
    <w:rsid w:val="2B86726D"/>
    <w:rsid w:val="2BB03BC6"/>
    <w:rsid w:val="2BC56190"/>
    <w:rsid w:val="2BC63675"/>
    <w:rsid w:val="2C3F795F"/>
    <w:rsid w:val="2C635CB4"/>
    <w:rsid w:val="2C935CD7"/>
    <w:rsid w:val="2C9D5C3F"/>
    <w:rsid w:val="2CA12B0E"/>
    <w:rsid w:val="2CF42382"/>
    <w:rsid w:val="2E4A6448"/>
    <w:rsid w:val="2E7C612F"/>
    <w:rsid w:val="2E86069C"/>
    <w:rsid w:val="2EB87DCF"/>
    <w:rsid w:val="2FA35566"/>
    <w:rsid w:val="2FBC2C35"/>
    <w:rsid w:val="305706CA"/>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6D273F7"/>
    <w:rsid w:val="378400EB"/>
    <w:rsid w:val="37AB7FD0"/>
    <w:rsid w:val="38D74EA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83A30"/>
    <w:rsid w:val="3D230004"/>
    <w:rsid w:val="3D7F583D"/>
    <w:rsid w:val="3DBC1A54"/>
    <w:rsid w:val="3DEE280E"/>
    <w:rsid w:val="3E291F2D"/>
    <w:rsid w:val="3F073ADC"/>
    <w:rsid w:val="3F20137E"/>
    <w:rsid w:val="3FF56CAA"/>
    <w:rsid w:val="400C6096"/>
    <w:rsid w:val="40CD4232"/>
    <w:rsid w:val="415E6958"/>
    <w:rsid w:val="4183143A"/>
    <w:rsid w:val="418C5474"/>
    <w:rsid w:val="42076B60"/>
    <w:rsid w:val="432F373A"/>
    <w:rsid w:val="436C268E"/>
    <w:rsid w:val="437C2297"/>
    <w:rsid w:val="43B655A2"/>
    <w:rsid w:val="43F246E1"/>
    <w:rsid w:val="4562127B"/>
    <w:rsid w:val="45655CFD"/>
    <w:rsid w:val="45AC548F"/>
    <w:rsid w:val="46257A70"/>
    <w:rsid w:val="466823DE"/>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4344CF"/>
    <w:rsid w:val="4DFE3F27"/>
    <w:rsid w:val="4E61350A"/>
    <w:rsid w:val="4E6B2599"/>
    <w:rsid w:val="4EB26E63"/>
    <w:rsid w:val="4EBF4DEF"/>
    <w:rsid w:val="4F3E4952"/>
    <w:rsid w:val="4F7C5FC7"/>
    <w:rsid w:val="4FDF5674"/>
    <w:rsid w:val="507A5E61"/>
    <w:rsid w:val="507D3E47"/>
    <w:rsid w:val="50830E0A"/>
    <w:rsid w:val="509172E8"/>
    <w:rsid w:val="50BE2588"/>
    <w:rsid w:val="50CE7706"/>
    <w:rsid w:val="510C7458"/>
    <w:rsid w:val="514D447C"/>
    <w:rsid w:val="51AF2F33"/>
    <w:rsid w:val="51DD30A8"/>
    <w:rsid w:val="521F6CBD"/>
    <w:rsid w:val="529370F2"/>
    <w:rsid w:val="5350598B"/>
    <w:rsid w:val="54745811"/>
    <w:rsid w:val="549B357C"/>
    <w:rsid w:val="54AB09FD"/>
    <w:rsid w:val="54D6296E"/>
    <w:rsid w:val="555F6D9E"/>
    <w:rsid w:val="56AF1F73"/>
    <w:rsid w:val="56C777CE"/>
    <w:rsid w:val="56FA45C0"/>
    <w:rsid w:val="57235796"/>
    <w:rsid w:val="57CE1994"/>
    <w:rsid w:val="57D03DB5"/>
    <w:rsid w:val="58561598"/>
    <w:rsid w:val="59E64446"/>
    <w:rsid w:val="59F65377"/>
    <w:rsid w:val="5B8027F4"/>
    <w:rsid w:val="5C284BDC"/>
    <w:rsid w:val="5C5D7D44"/>
    <w:rsid w:val="5C6B3BFE"/>
    <w:rsid w:val="5C755E28"/>
    <w:rsid w:val="5CCF1730"/>
    <w:rsid w:val="5D301728"/>
    <w:rsid w:val="5E606AAC"/>
    <w:rsid w:val="5EC306B4"/>
    <w:rsid w:val="5EDE4E17"/>
    <w:rsid w:val="60471D2B"/>
    <w:rsid w:val="61205CDC"/>
    <w:rsid w:val="618477B9"/>
    <w:rsid w:val="61C13DE9"/>
    <w:rsid w:val="62E8673E"/>
    <w:rsid w:val="63387088"/>
    <w:rsid w:val="63AA7892"/>
    <w:rsid w:val="63C049D7"/>
    <w:rsid w:val="63DF1D5E"/>
    <w:rsid w:val="65C40CA2"/>
    <w:rsid w:val="65F74024"/>
    <w:rsid w:val="668D4238"/>
    <w:rsid w:val="66F76E3E"/>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6FAD6A36"/>
    <w:rsid w:val="7098089A"/>
    <w:rsid w:val="70FD01F7"/>
    <w:rsid w:val="7172232C"/>
    <w:rsid w:val="73432E8B"/>
    <w:rsid w:val="73532842"/>
    <w:rsid w:val="735D69D5"/>
    <w:rsid w:val="73FB1E2A"/>
    <w:rsid w:val="745F4ACF"/>
    <w:rsid w:val="75A92979"/>
    <w:rsid w:val="75C13A24"/>
    <w:rsid w:val="75CE76D3"/>
    <w:rsid w:val="77080C99"/>
    <w:rsid w:val="77162EED"/>
    <w:rsid w:val="772C1D65"/>
    <w:rsid w:val="778352D0"/>
    <w:rsid w:val="780064A2"/>
    <w:rsid w:val="784F39A4"/>
    <w:rsid w:val="78AE5565"/>
    <w:rsid w:val="7908111E"/>
    <w:rsid w:val="793502A1"/>
    <w:rsid w:val="79D3602A"/>
    <w:rsid w:val="7A0B3E4A"/>
    <w:rsid w:val="7A664C63"/>
    <w:rsid w:val="7AC20377"/>
    <w:rsid w:val="7ADE7C31"/>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 w:type="character" w:customStyle="1" w:styleId="30">
    <w:name w:val="font5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28</Pages>
  <Words>4132</Words>
  <Characters>12539</Characters>
  <Lines>219</Lines>
  <Paragraphs>61</Paragraphs>
  <TotalTime>7</TotalTime>
  <ScaleCrop>false</ScaleCrop>
  <LinksUpToDate>false</LinksUpToDate>
  <CharactersWithSpaces>14222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123456</cp:lastModifiedBy>
  <cp:lastPrinted>2022-06-09T02:01:00Z</cp:lastPrinted>
  <dcterms:modified xsi:type="dcterms:W3CDTF">2025-04-17T06:53:06Z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126D641B04F04E4DACDBF54F1548B0A6</vt:lpwstr>
  </property>
  <property fmtid="{D5CDD505-2E9C-101B-9397-08002B2CF9AE}" pid="4" name="KSOTemplateDocerSaveRecord">
    <vt:lpwstr>eyJoZGlkIjoiMzk5NTdmYzJjMTJlNDVkNmVkMjljZWE3YTc0M2E2ZWQiLCJ1c2VySWQiOiI1OTMwNjYyNjQifQ==</vt:lpwstr>
  </property>
</Properties>
</file>