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41C0" w14:textId="77777777" w:rsidR="00B34E43" w:rsidRDefault="00450367">
      <w:pPr>
        <w:spacing w:line="520" w:lineRule="exact"/>
        <w:jc w:val="center"/>
        <w:rPr>
          <w:rFonts w:ascii="方正小标宋_GBK" w:eastAsia="方正小标宋_GBK"/>
          <w:color w:val="auto"/>
          <w:sz w:val="44"/>
          <w:szCs w:val="44"/>
        </w:rPr>
      </w:pPr>
      <w:bookmarkStart w:id="0" w:name="OLE_LINK3"/>
      <w:r>
        <w:rPr>
          <w:rFonts w:ascii="方正小标宋_GBK" w:eastAsia="方正小标宋_GBK" w:hint="eastAsia"/>
          <w:color w:val="auto"/>
          <w:sz w:val="44"/>
          <w:szCs w:val="44"/>
        </w:rPr>
        <w:t>关于开展</w:t>
      </w:r>
      <w:r>
        <w:rPr>
          <w:rFonts w:ascii="方正小标宋_GBK" w:eastAsia="方正小标宋_GBK"/>
          <w:color w:val="auto"/>
          <w:sz w:val="44"/>
          <w:szCs w:val="44"/>
        </w:rPr>
        <w:t>2026年度</w:t>
      </w:r>
      <w:r>
        <w:rPr>
          <w:rFonts w:ascii="方正小标宋_GBK" w:eastAsia="方正小标宋_GBK" w:hint="eastAsia"/>
          <w:color w:val="auto"/>
          <w:sz w:val="44"/>
          <w:szCs w:val="44"/>
        </w:rPr>
        <w:t>国家</w:t>
      </w:r>
      <w:r>
        <w:rPr>
          <w:rFonts w:ascii="方正小标宋_GBK" w:eastAsia="方正小标宋_GBK"/>
          <w:color w:val="auto"/>
          <w:sz w:val="44"/>
          <w:szCs w:val="44"/>
        </w:rPr>
        <w:t>科技型</w:t>
      </w:r>
      <w:r>
        <w:rPr>
          <w:rFonts w:ascii="方正小标宋_GBK" w:eastAsia="方正小标宋_GBK" w:hint="eastAsia"/>
          <w:color w:val="auto"/>
          <w:sz w:val="44"/>
          <w:szCs w:val="44"/>
        </w:rPr>
        <w:t>中小企业</w:t>
      </w:r>
    </w:p>
    <w:p w14:paraId="466D4A13" w14:textId="77777777" w:rsidR="00B34E43" w:rsidRDefault="00450367">
      <w:pPr>
        <w:spacing w:line="520" w:lineRule="exact"/>
        <w:jc w:val="center"/>
        <w:rPr>
          <w:rFonts w:ascii="方正小标宋_GBK" w:eastAsia="方正小标宋_GBK"/>
          <w:color w:val="auto"/>
          <w:sz w:val="44"/>
          <w:szCs w:val="44"/>
        </w:rPr>
      </w:pPr>
      <w:r>
        <w:rPr>
          <w:rFonts w:ascii="方正小标宋_GBK" w:eastAsia="方正小标宋_GBK" w:hint="eastAsia"/>
          <w:color w:val="auto"/>
          <w:sz w:val="44"/>
          <w:szCs w:val="44"/>
        </w:rPr>
        <w:t>评价工作的预通知</w:t>
      </w:r>
    </w:p>
    <w:p w14:paraId="69BFA73F" w14:textId="77777777" w:rsidR="00B34E43" w:rsidRDefault="00B34E43">
      <w:pPr>
        <w:spacing w:line="520" w:lineRule="exact"/>
        <w:jc w:val="center"/>
        <w:rPr>
          <w:rFonts w:ascii="方正小标宋_GBK" w:eastAsia="方正小标宋_GBK"/>
          <w:color w:val="auto"/>
          <w:sz w:val="44"/>
          <w:szCs w:val="44"/>
        </w:rPr>
      </w:pPr>
    </w:p>
    <w:p w14:paraId="78800EC0" w14:textId="77777777" w:rsidR="00B34E43" w:rsidRDefault="00450367">
      <w:pPr>
        <w:spacing w:line="520" w:lineRule="exact"/>
        <w:rPr>
          <w:rFonts w:ascii="仿宋_GB2312" w:hAnsi="宋体" w:hint="eastAsia"/>
          <w:color w:val="auto"/>
          <w:szCs w:val="32"/>
        </w:rPr>
      </w:pPr>
      <w:r>
        <w:rPr>
          <w:rFonts w:ascii="仿宋_GB2312" w:hAnsi="宋体" w:hint="eastAsia"/>
          <w:color w:val="auto"/>
          <w:szCs w:val="32"/>
        </w:rPr>
        <w:t>各市（含定州、辛集市）、雄安新区科技管理部门，石家庄、保定国家高新区管委会，各有关单位：</w:t>
      </w:r>
    </w:p>
    <w:p w14:paraId="63C2C70C" w14:textId="77777777" w:rsidR="00B34E43" w:rsidRDefault="00450367">
      <w:pPr>
        <w:spacing w:line="520" w:lineRule="exact"/>
        <w:ind w:firstLine="645"/>
        <w:rPr>
          <w:rFonts w:ascii="仿宋_GB2312"/>
          <w:color w:val="auto"/>
          <w:szCs w:val="32"/>
        </w:rPr>
      </w:pPr>
      <w:r>
        <w:rPr>
          <w:rFonts w:ascii="仿宋_GB2312" w:hint="eastAsia"/>
          <w:color w:val="auto"/>
          <w:szCs w:val="32"/>
        </w:rPr>
        <w:t>为深入贯彻落实党中央国务院关于推动科技创新和产业创新深度融合、支持科技型中小企业发展的决策部署，根据《科技型中小企业评价办法》（国科发政〔2017〕115号）和《科技型中小企业评价服务工作指引》（国科火字〔2022〕67号）有关要求，按照工业和信息化部中小企业局《关于开展2026年度科技型中小企业评价工作的通知》（工企业函〔20</w:t>
      </w:r>
      <w:r>
        <w:rPr>
          <w:rFonts w:ascii="仿宋_GB2312"/>
          <w:color w:val="auto"/>
          <w:szCs w:val="32"/>
        </w:rPr>
        <w:t>26</w:t>
      </w:r>
      <w:r>
        <w:rPr>
          <w:rFonts w:ascii="仿宋_GB2312" w:hint="eastAsia"/>
          <w:color w:val="auto"/>
          <w:szCs w:val="32"/>
        </w:rPr>
        <w:t>〕</w:t>
      </w:r>
      <w:r>
        <w:rPr>
          <w:rFonts w:ascii="仿宋_GB2312"/>
          <w:color w:val="auto"/>
          <w:szCs w:val="32"/>
        </w:rPr>
        <w:t>160</w:t>
      </w:r>
      <w:r>
        <w:rPr>
          <w:rFonts w:ascii="仿宋_GB2312" w:hint="eastAsia"/>
          <w:color w:val="auto"/>
          <w:szCs w:val="32"/>
        </w:rPr>
        <w:t>号）精神，现就开展我省202</w:t>
      </w:r>
      <w:r>
        <w:rPr>
          <w:rFonts w:ascii="仿宋_GB2312"/>
          <w:color w:val="auto"/>
          <w:szCs w:val="32"/>
        </w:rPr>
        <w:t>6</w:t>
      </w:r>
      <w:r>
        <w:rPr>
          <w:rFonts w:ascii="仿宋_GB2312" w:hint="eastAsia"/>
          <w:color w:val="auto"/>
          <w:szCs w:val="32"/>
        </w:rPr>
        <w:t>年度国家科技型中小企业评价工作通知如下：</w:t>
      </w:r>
    </w:p>
    <w:p w14:paraId="425AF565" w14:textId="77777777" w:rsidR="00B34E43" w:rsidRDefault="00450367">
      <w:pPr>
        <w:spacing w:line="520" w:lineRule="exact"/>
        <w:ind w:firstLine="645"/>
        <w:rPr>
          <w:rFonts w:ascii="黑体" w:eastAsia="黑体" w:hAnsi="黑体" w:hint="eastAsia"/>
          <w:color w:val="auto"/>
          <w:szCs w:val="32"/>
        </w:rPr>
      </w:pPr>
      <w:r>
        <w:rPr>
          <w:rFonts w:ascii="黑体" w:eastAsia="黑体" w:hAnsi="黑体" w:hint="eastAsia"/>
          <w:color w:val="auto"/>
          <w:szCs w:val="32"/>
        </w:rPr>
        <w:t>一</w:t>
      </w:r>
      <w:r>
        <w:rPr>
          <w:rFonts w:ascii="黑体" w:eastAsia="黑体" w:hAnsi="黑体"/>
          <w:color w:val="auto"/>
          <w:szCs w:val="32"/>
        </w:rPr>
        <w:t>、</w:t>
      </w:r>
      <w:r>
        <w:rPr>
          <w:rFonts w:ascii="黑体" w:eastAsia="黑体" w:hAnsi="黑体" w:hint="eastAsia"/>
          <w:color w:val="auto"/>
          <w:szCs w:val="32"/>
        </w:rPr>
        <w:t>企业</w:t>
      </w:r>
      <w:r>
        <w:rPr>
          <w:rFonts w:ascii="黑体" w:eastAsia="黑体" w:hAnsi="黑体"/>
          <w:color w:val="auto"/>
          <w:szCs w:val="32"/>
        </w:rPr>
        <w:t>参评要求</w:t>
      </w:r>
    </w:p>
    <w:p w14:paraId="3684FBF5" w14:textId="77777777" w:rsidR="00B34E43" w:rsidRDefault="00450367">
      <w:pPr>
        <w:spacing w:line="520" w:lineRule="exact"/>
        <w:ind w:firstLine="645"/>
        <w:rPr>
          <w:rFonts w:ascii="仿宋_GB2312"/>
          <w:color w:val="auto"/>
          <w:szCs w:val="32"/>
        </w:rPr>
      </w:pPr>
      <w:r>
        <w:rPr>
          <w:rFonts w:ascii="仿宋_GB2312" w:hint="eastAsia"/>
          <w:color w:val="auto"/>
          <w:szCs w:val="32"/>
        </w:rPr>
        <w:t>符合条件的中小企业按照自愿原则，登录优质中小企业梯度培育平台（https://zjtx.miit.gov.cn/）“科技型中小企业”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根据工业和信息化部《优质中小企业梯度培育管理办法》，有效期内的国家科技型中小企业可申报专精特新中小企业。</w:t>
      </w:r>
    </w:p>
    <w:p w14:paraId="26C2BECC" w14:textId="77777777" w:rsidR="00B34E43" w:rsidRDefault="00450367">
      <w:pPr>
        <w:spacing w:line="520" w:lineRule="exact"/>
        <w:ind w:firstLine="645"/>
        <w:rPr>
          <w:rFonts w:ascii="黑体" w:eastAsia="黑体" w:hAnsi="黑体" w:hint="eastAsia"/>
          <w:color w:val="auto"/>
          <w:szCs w:val="32"/>
        </w:rPr>
      </w:pPr>
      <w:r>
        <w:rPr>
          <w:rFonts w:ascii="黑体" w:eastAsia="黑体" w:hAnsi="黑体" w:hint="eastAsia"/>
          <w:color w:val="auto"/>
          <w:szCs w:val="32"/>
        </w:rPr>
        <w:t>二、评价工作流程</w:t>
      </w:r>
    </w:p>
    <w:p w14:paraId="181E54F4"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（一）对参评企业材料进行全面审核。</w:t>
      </w:r>
      <w:r>
        <w:rPr>
          <w:rFonts w:ascii="仿宋_GB2312" w:hint="eastAsia"/>
          <w:color w:val="auto"/>
          <w:szCs w:val="32"/>
        </w:rPr>
        <w:t>各市级评价机构应对所属区域内企业填报资料和佐证材料进行初审，省科技厅组织复审。信息完整且符合条件的，由省科技厅在评价系统公示10个工</w:t>
      </w:r>
      <w:r>
        <w:rPr>
          <w:rFonts w:ascii="仿宋_GB2312" w:hint="eastAsia"/>
          <w:color w:val="auto"/>
          <w:szCs w:val="32"/>
        </w:rPr>
        <w:lastRenderedPageBreak/>
        <w:t>作日。公示无异议的企业，纳入国家科技型中小企业信息库并在评价系统公告。</w:t>
      </w:r>
    </w:p>
    <w:p w14:paraId="5EADDAFF"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（二）对部分企业进行实地核查。</w:t>
      </w:r>
      <w:r>
        <w:rPr>
          <w:rFonts w:ascii="仿宋_GB2312" w:hint="eastAsia"/>
          <w:color w:val="auto"/>
          <w:szCs w:val="32"/>
        </w:rPr>
        <w:t>本年度参评企业如符合以下情况之一，请各市级评价机构在公示前组织相关人员开展实地核查：</w:t>
      </w:r>
    </w:p>
    <w:p w14:paraId="4EB757FB"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1.职工总数为5人及以下的企业；</w:t>
      </w:r>
    </w:p>
    <w:p w14:paraId="6AB70EE0"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2.知识产权数量为0的企业；</w:t>
      </w:r>
    </w:p>
    <w:p w14:paraId="0BC28749"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3.年度研发费用总额低于10万元的企业；</w:t>
      </w:r>
    </w:p>
    <w:p w14:paraId="40CCC22D"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4.近三年曾有过严重违法失信、取消入库编号等情况的企业；</w:t>
      </w:r>
    </w:p>
    <w:p w14:paraId="0A421D34"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5.首次参评的企业。</w:t>
      </w:r>
    </w:p>
    <w:p w14:paraId="25671A1A"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（三）组织开展入库企业集中抽查工作。</w:t>
      </w:r>
      <w:r>
        <w:rPr>
          <w:rFonts w:ascii="仿宋_GB2312" w:hint="eastAsia"/>
          <w:color w:val="auto"/>
          <w:szCs w:val="32"/>
        </w:rPr>
        <w:t>请各市级评价机构在每批次企业公告入库10个</w:t>
      </w:r>
      <w:r>
        <w:rPr>
          <w:rFonts w:ascii="仿宋_GB2312"/>
          <w:color w:val="auto"/>
          <w:szCs w:val="32"/>
        </w:rPr>
        <w:t>工作</w:t>
      </w:r>
      <w:r>
        <w:rPr>
          <w:rFonts w:ascii="仿宋_GB2312" w:hint="eastAsia"/>
          <w:color w:val="auto"/>
          <w:szCs w:val="32"/>
        </w:rPr>
        <w:t>日</w:t>
      </w:r>
      <w:r>
        <w:rPr>
          <w:rFonts w:ascii="仿宋_GB2312"/>
          <w:color w:val="auto"/>
          <w:szCs w:val="32"/>
        </w:rPr>
        <w:t>内</w:t>
      </w:r>
      <w:r>
        <w:rPr>
          <w:rFonts w:ascii="仿宋_GB2312" w:hint="eastAsia"/>
          <w:color w:val="auto"/>
          <w:szCs w:val="32"/>
        </w:rPr>
        <w:t>开展集中随机抽查，按照不低于5%的比例对每批次入库国家科技型中小企业进行申请材料核验，留存佐证材料，对不符合条件的企业向省科技厅申请予以取消编号。原则上被抽查企业不含有效期内的创新型中小企业、专精特新中小企业，以及已拥有有效期内高新技术企业资格证书为条件直接确认的国家科技型中小企业，且同一个企业（经抽查符合条件）三年内仅抽查一次。</w:t>
      </w:r>
    </w:p>
    <w:p w14:paraId="7F61127C"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（四）做好年度评价工作总结。</w:t>
      </w:r>
      <w:bookmarkStart w:id="1" w:name="OLE_LINK2"/>
      <w:bookmarkStart w:id="2" w:name="OLE_LINK1"/>
      <w:r>
        <w:rPr>
          <w:rFonts w:ascii="仿宋_GB2312"/>
          <w:color w:val="auto"/>
          <w:szCs w:val="32"/>
        </w:rPr>
        <w:t>各</w:t>
      </w:r>
      <w:r>
        <w:rPr>
          <w:rFonts w:ascii="仿宋_GB2312" w:hint="eastAsia"/>
          <w:color w:val="auto"/>
          <w:szCs w:val="32"/>
        </w:rPr>
        <w:t>市级评价机构</w:t>
      </w:r>
      <w:bookmarkEnd w:id="1"/>
      <w:bookmarkEnd w:id="2"/>
      <w:r>
        <w:rPr>
          <w:rFonts w:ascii="仿宋_GB2312"/>
          <w:color w:val="auto"/>
          <w:szCs w:val="32"/>
        </w:rPr>
        <w:t>应于12月7日前</w:t>
      </w:r>
      <w:r>
        <w:rPr>
          <w:rFonts w:ascii="仿宋_GB2312" w:hint="eastAsia"/>
          <w:color w:val="auto"/>
          <w:szCs w:val="32"/>
        </w:rPr>
        <w:t>，</w:t>
      </w:r>
      <w:r>
        <w:rPr>
          <w:rFonts w:ascii="仿宋_GB2312"/>
          <w:color w:val="auto"/>
          <w:szCs w:val="32"/>
        </w:rPr>
        <w:t>完成本年度评价工作并</w:t>
      </w:r>
      <w:r>
        <w:rPr>
          <w:rFonts w:ascii="仿宋_GB2312" w:hint="eastAsia"/>
          <w:color w:val="auto"/>
          <w:szCs w:val="32"/>
        </w:rPr>
        <w:t>将工作总结</w:t>
      </w:r>
      <w:r>
        <w:rPr>
          <w:rFonts w:ascii="仿宋_GB2312"/>
          <w:color w:val="auto"/>
          <w:szCs w:val="32"/>
        </w:rPr>
        <w:t>报</w:t>
      </w:r>
      <w:r>
        <w:rPr>
          <w:rFonts w:ascii="仿宋_GB2312" w:hint="eastAsia"/>
          <w:color w:val="auto"/>
          <w:szCs w:val="32"/>
        </w:rPr>
        <w:t>送省科技厅</w:t>
      </w:r>
      <w:r>
        <w:rPr>
          <w:rFonts w:ascii="仿宋_GB2312"/>
          <w:color w:val="auto"/>
          <w:szCs w:val="32"/>
        </w:rPr>
        <w:t>，</w:t>
      </w:r>
      <w:r>
        <w:rPr>
          <w:rFonts w:ascii="仿宋_GB2312" w:hint="eastAsia"/>
          <w:color w:val="auto"/>
          <w:szCs w:val="32"/>
        </w:rPr>
        <w:t>包括评价工作开展情况、实地核查和集中抽查工作开展情况、享受研发费用加计扣除政策情况、地方出台相关政策及落实情况、主要经验和做法、存在问题和下一步工作建议等内容。</w:t>
      </w:r>
    </w:p>
    <w:p w14:paraId="4A0F2458" w14:textId="77777777" w:rsidR="00B34E43" w:rsidRDefault="00450367">
      <w:pPr>
        <w:spacing w:line="520" w:lineRule="exact"/>
        <w:ind w:firstLineChars="200" w:firstLine="640"/>
        <w:rPr>
          <w:rFonts w:ascii="黑体" w:eastAsia="黑体" w:hAnsi="黑体" w:hint="eastAsia"/>
          <w:color w:val="auto"/>
          <w:szCs w:val="32"/>
        </w:rPr>
      </w:pPr>
      <w:r>
        <w:rPr>
          <w:rFonts w:ascii="黑体" w:eastAsia="黑体" w:hAnsi="黑体" w:hint="eastAsia"/>
          <w:color w:val="auto"/>
          <w:szCs w:val="32"/>
        </w:rPr>
        <w:t>三、有关工作要求</w:t>
      </w:r>
    </w:p>
    <w:p w14:paraId="41F22334"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（一）</w:t>
      </w:r>
      <w:r>
        <w:rPr>
          <w:rFonts w:ascii="楷体_GB2312" w:eastAsia="楷体_GB2312"/>
          <w:b/>
          <w:color w:val="auto"/>
          <w:szCs w:val="32"/>
        </w:rPr>
        <w:t>延续</w:t>
      </w:r>
      <w:r>
        <w:rPr>
          <w:rFonts w:ascii="楷体_GB2312" w:eastAsia="楷体_GB2312" w:hint="eastAsia"/>
          <w:b/>
          <w:color w:val="auto"/>
          <w:szCs w:val="32"/>
        </w:rPr>
        <w:t>“即报即审”模式。</w:t>
      </w:r>
      <w:r>
        <w:rPr>
          <w:rFonts w:ascii="仿宋_GB2312" w:hint="eastAsia"/>
          <w:color w:val="auto"/>
          <w:szCs w:val="32"/>
        </w:rPr>
        <w:t>根据本年度工作需求，为确保</w:t>
      </w:r>
      <w:r>
        <w:rPr>
          <w:rFonts w:ascii="仿宋_GB2312" w:hint="eastAsia"/>
          <w:color w:val="auto"/>
          <w:szCs w:val="32"/>
        </w:rPr>
        <w:lastRenderedPageBreak/>
        <w:t>及时</w:t>
      </w:r>
      <w:r>
        <w:rPr>
          <w:rFonts w:ascii="仿宋_GB2312"/>
          <w:color w:val="auto"/>
          <w:szCs w:val="32"/>
        </w:rPr>
        <w:t>、</w:t>
      </w:r>
      <w:r>
        <w:rPr>
          <w:rFonts w:ascii="仿宋_GB2312" w:hint="eastAsia"/>
          <w:color w:val="auto"/>
          <w:szCs w:val="32"/>
        </w:rPr>
        <w:t>高质量完成</w:t>
      </w:r>
      <w:r>
        <w:rPr>
          <w:rFonts w:ascii="仿宋_GB2312"/>
          <w:color w:val="auto"/>
          <w:szCs w:val="32"/>
        </w:rPr>
        <w:t>全年评价工作</w:t>
      </w:r>
      <w:r>
        <w:rPr>
          <w:rFonts w:ascii="仿宋_GB2312" w:hint="eastAsia"/>
          <w:color w:val="auto"/>
          <w:szCs w:val="32"/>
        </w:rPr>
        <w:t>，继续推行“即报即审”高效审核模式，企业申报信息至市级评价机构后即开始审核，通过后推荐至省科技厅。</w:t>
      </w:r>
    </w:p>
    <w:p w14:paraId="013D5690"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（二）严把审核评价入口。</w:t>
      </w:r>
      <w:r>
        <w:rPr>
          <w:rFonts w:ascii="仿宋_GB2312" w:hint="eastAsia"/>
          <w:color w:val="auto"/>
          <w:szCs w:val="32"/>
        </w:rPr>
        <w:t>各市级评价机构要压实审核主体责任，细化审核清单，聚焦核心指标从严审核，杜绝“重数量、轻质量”。重点核查三项核心内容：</w:t>
      </w:r>
    </w:p>
    <w:p w14:paraId="292E8F88"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1</w:t>
      </w:r>
      <w:r>
        <w:rPr>
          <w:rFonts w:ascii="仿宋_GB2312"/>
          <w:color w:val="auto"/>
          <w:szCs w:val="32"/>
        </w:rPr>
        <w:t>.</w:t>
      </w:r>
      <w:r>
        <w:rPr>
          <w:rFonts w:ascii="仿宋_GB2312" w:hint="eastAsia"/>
          <w:color w:val="auto"/>
          <w:szCs w:val="32"/>
        </w:rPr>
        <w:t>企业科技人员、研发人员占比是否符合标准，与企业经营规模、研发投入是否匹配，杜绝人员数据虚高虚报；</w:t>
      </w:r>
    </w:p>
    <w:p w14:paraId="7A45173D"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2</w:t>
      </w:r>
      <w:r>
        <w:rPr>
          <w:rFonts w:ascii="仿宋_GB2312"/>
          <w:color w:val="auto"/>
          <w:szCs w:val="32"/>
        </w:rPr>
        <w:t>.</w:t>
      </w:r>
      <w:r>
        <w:rPr>
          <w:rFonts w:ascii="仿宋_GB2312" w:hint="eastAsia"/>
          <w:color w:val="auto"/>
          <w:szCs w:val="32"/>
        </w:rPr>
        <w:t>企业知识产权、核心技术是否与主营业务、主导产品高度关联，无关联知识产权不得作为评价依据；</w:t>
      </w:r>
    </w:p>
    <w:p w14:paraId="47998BC3"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3</w:t>
      </w:r>
      <w:r>
        <w:rPr>
          <w:rFonts w:ascii="仿宋_GB2312"/>
          <w:color w:val="auto"/>
          <w:szCs w:val="32"/>
        </w:rPr>
        <w:t>.</w:t>
      </w:r>
      <w:r>
        <w:rPr>
          <w:rFonts w:ascii="仿宋_GB2312" w:hint="eastAsia"/>
          <w:color w:val="auto"/>
          <w:szCs w:val="32"/>
        </w:rPr>
        <w:t>严格甄别空壳企业、纯商贸流通企业、仅简单组装加工、无自主研发、无技术创新活动的企业，坚决杜绝此类企业违规入库。</w:t>
      </w:r>
    </w:p>
    <w:p w14:paraId="68939F2A" w14:textId="77777777" w:rsidR="00B34E43" w:rsidRDefault="00450367">
      <w:pPr>
        <w:spacing w:line="520" w:lineRule="exact"/>
        <w:ind w:firstLineChars="200" w:firstLine="643"/>
        <w:rPr>
          <w:rFonts w:ascii="楷体_GB2312" w:eastAsia="楷体_GB2312"/>
          <w:b/>
          <w:color w:val="auto"/>
          <w:szCs w:val="32"/>
        </w:rPr>
      </w:pPr>
      <w:r>
        <w:rPr>
          <w:rFonts w:ascii="楷体_GB2312" w:eastAsia="楷体_GB2312" w:hint="eastAsia"/>
          <w:b/>
          <w:color w:val="auto"/>
          <w:szCs w:val="32"/>
        </w:rPr>
        <w:t>（三）健全评价工作督办机制。</w:t>
      </w:r>
      <w:r>
        <w:rPr>
          <w:rFonts w:ascii="仿宋_GB2312" w:hint="eastAsia"/>
          <w:color w:val="auto"/>
          <w:szCs w:val="32"/>
        </w:rPr>
        <w:t>省科技厅将主动向社会公开监督方式，自觉接受社会监督，及时核实处理拟入库企业公示异议、投诉和举报信息。针对评价工作中风险异议企业数量较多的地区，省科技厅将组织有关机构开展实地监督指导，改进提高评价工作质量。</w:t>
      </w:r>
    </w:p>
    <w:p w14:paraId="024DFA9C"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（四）深化</w:t>
      </w:r>
      <w:r>
        <w:rPr>
          <w:rFonts w:ascii="楷体_GB2312" w:eastAsia="楷体_GB2312"/>
          <w:b/>
          <w:color w:val="auto"/>
          <w:szCs w:val="32"/>
        </w:rPr>
        <w:t>政策宣传</w:t>
      </w:r>
      <w:r>
        <w:rPr>
          <w:rFonts w:ascii="楷体_GB2312" w:eastAsia="楷体_GB2312" w:hint="eastAsia"/>
          <w:b/>
          <w:color w:val="auto"/>
          <w:szCs w:val="32"/>
        </w:rPr>
        <w:t>、规范申报秩序</w:t>
      </w:r>
      <w:r>
        <w:rPr>
          <w:rFonts w:ascii="楷体_GB2312" w:eastAsia="楷体_GB2312"/>
          <w:b/>
          <w:color w:val="auto"/>
          <w:szCs w:val="32"/>
        </w:rPr>
        <w:t>。</w:t>
      </w:r>
      <w:r>
        <w:rPr>
          <w:rFonts w:ascii="仿宋_GB2312"/>
          <w:color w:val="auto"/>
          <w:szCs w:val="32"/>
        </w:rPr>
        <w:t>各地科技部门要多渠道、</w:t>
      </w:r>
      <w:r>
        <w:rPr>
          <w:rFonts w:ascii="仿宋_GB2312" w:hint="eastAsia"/>
          <w:color w:val="auto"/>
          <w:szCs w:val="32"/>
        </w:rPr>
        <w:t>广</w:t>
      </w:r>
      <w:r>
        <w:rPr>
          <w:rFonts w:ascii="仿宋_GB2312"/>
          <w:color w:val="auto"/>
          <w:szCs w:val="32"/>
        </w:rPr>
        <w:t>覆盖开展政策解读与申报辅导，精准推送惠企政策，引导企业自主申报、诚信申报。同时严</w:t>
      </w:r>
      <w:r>
        <w:rPr>
          <w:rFonts w:ascii="仿宋_GB2312" w:hint="eastAsia"/>
          <w:color w:val="auto"/>
          <w:szCs w:val="32"/>
        </w:rPr>
        <w:t>防</w:t>
      </w:r>
      <w:r>
        <w:rPr>
          <w:rFonts w:ascii="仿宋_GB2312"/>
          <w:color w:val="auto"/>
          <w:szCs w:val="32"/>
        </w:rPr>
        <w:t>不良中介机构代办申报、材料包装、收费造假等违规行为</w:t>
      </w:r>
      <w:r>
        <w:rPr>
          <w:rFonts w:ascii="仿宋_GB2312" w:hint="eastAsia"/>
          <w:color w:val="auto"/>
          <w:szCs w:val="32"/>
        </w:rPr>
        <w:t>，</w:t>
      </w:r>
      <w:r>
        <w:rPr>
          <w:rFonts w:ascii="仿宋_GB2312"/>
          <w:color w:val="auto"/>
          <w:szCs w:val="32"/>
        </w:rPr>
        <w:t>切实维护公平公正的申报环境，保障企业合法权益。</w:t>
      </w:r>
    </w:p>
    <w:p w14:paraId="0493D8D0" w14:textId="77777777" w:rsidR="00B34E43" w:rsidRDefault="00450367">
      <w:pPr>
        <w:spacing w:line="520" w:lineRule="exact"/>
        <w:ind w:firstLineChars="200" w:firstLine="643"/>
        <w:rPr>
          <w:rFonts w:ascii="仿宋_GB2312"/>
          <w:color w:val="auto"/>
          <w:szCs w:val="32"/>
        </w:rPr>
      </w:pPr>
      <w:r>
        <w:rPr>
          <w:rFonts w:ascii="楷体_GB2312" w:eastAsia="楷体_GB2312" w:hint="eastAsia"/>
          <w:b/>
          <w:color w:val="auto"/>
          <w:szCs w:val="32"/>
        </w:rPr>
        <w:t>（五）强化科技赋能。</w:t>
      </w:r>
      <w:r>
        <w:rPr>
          <w:rFonts w:ascii="仿宋_GB2312" w:hint="eastAsia"/>
          <w:color w:val="auto"/>
          <w:szCs w:val="32"/>
        </w:rPr>
        <w:t>鼓励各级评价机构创新审核方式，运用大数据、人工智能等信息化技术手段，开展智能筛查、精准核验。重点监测企业财务数据大幅波动、申报材料前后矛盾、研发数据异</w:t>
      </w:r>
      <w:r>
        <w:rPr>
          <w:rFonts w:ascii="仿宋_GB2312" w:hint="eastAsia"/>
          <w:color w:val="auto"/>
          <w:szCs w:val="32"/>
        </w:rPr>
        <w:lastRenderedPageBreak/>
        <w:t>常、人员与产值不匹配等风险问题，提前预警、精准排查，从源头防范材料包装、数据造假、虚假申报等违规行为，全面提升审核精准度和工作效率。</w:t>
      </w:r>
    </w:p>
    <w:p w14:paraId="36F16880" w14:textId="77777777" w:rsidR="00B34E43" w:rsidRDefault="00450367">
      <w:pPr>
        <w:spacing w:line="520" w:lineRule="exact"/>
        <w:ind w:firstLineChars="200" w:firstLine="640"/>
        <w:rPr>
          <w:rFonts w:ascii="黑体" w:eastAsia="黑体" w:hAnsi="黑体" w:hint="eastAsia"/>
          <w:color w:val="auto"/>
          <w:szCs w:val="32"/>
        </w:rPr>
      </w:pPr>
      <w:r>
        <w:rPr>
          <w:rFonts w:ascii="黑体" w:eastAsia="黑体" w:hAnsi="黑体" w:hint="eastAsia"/>
          <w:color w:val="auto"/>
          <w:szCs w:val="32"/>
        </w:rPr>
        <w:t>四、时间安排</w:t>
      </w:r>
    </w:p>
    <w:p w14:paraId="6642C52A" w14:textId="77777777" w:rsidR="00B34E43" w:rsidRDefault="00450367">
      <w:pPr>
        <w:spacing w:line="520" w:lineRule="exact"/>
        <w:ind w:firstLineChars="200" w:firstLine="640"/>
        <w:rPr>
          <w:rFonts w:ascii="仿宋_GB2312"/>
          <w:color w:val="auto"/>
          <w:szCs w:val="32"/>
        </w:rPr>
      </w:pPr>
      <w:r>
        <w:rPr>
          <w:rFonts w:ascii="仿宋_GB2312" w:hint="eastAsia"/>
          <w:color w:val="auto"/>
          <w:szCs w:val="32"/>
        </w:rPr>
        <w:t>202</w:t>
      </w:r>
      <w:r>
        <w:rPr>
          <w:rFonts w:ascii="仿宋_GB2312"/>
          <w:color w:val="auto"/>
          <w:szCs w:val="32"/>
        </w:rPr>
        <w:t>6</w:t>
      </w:r>
      <w:r>
        <w:rPr>
          <w:rFonts w:ascii="仿宋_GB2312" w:hint="eastAsia"/>
          <w:color w:val="auto"/>
          <w:szCs w:val="32"/>
        </w:rPr>
        <w:t>年度，国家科技型中小企业评价工作于</w:t>
      </w:r>
      <w:r>
        <w:rPr>
          <w:rFonts w:ascii="仿宋_GB2312"/>
          <w:color w:val="auto"/>
          <w:szCs w:val="32"/>
        </w:rPr>
        <w:t>6</w:t>
      </w:r>
      <w:r>
        <w:rPr>
          <w:rFonts w:ascii="仿宋_GB2312" w:hint="eastAsia"/>
          <w:color w:val="auto"/>
          <w:szCs w:val="32"/>
        </w:rPr>
        <w:t>月1日正式启动，企业原则上应于</w:t>
      </w:r>
      <w:r>
        <w:rPr>
          <w:rFonts w:ascii="仿宋_GB2312"/>
          <w:color w:val="auto"/>
          <w:szCs w:val="32"/>
        </w:rPr>
        <w:t>8</w:t>
      </w:r>
      <w:r>
        <w:rPr>
          <w:rFonts w:ascii="仿宋_GB2312" w:hint="eastAsia"/>
          <w:color w:val="auto"/>
          <w:szCs w:val="32"/>
        </w:rPr>
        <w:t>月25日前完成参评提交，各市级评价机构应于</w:t>
      </w:r>
      <w:r>
        <w:rPr>
          <w:rFonts w:ascii="仿宋_GB2312"/>
          <w:color w:val="auto"/>
          <w:szCs w:val="32"/>
        </w:rPr>
        <w:t>9</w:t>
      </w:r>
      <w:r>
        <w:rPr>
          <w:rFonts w:ascii="仿宋_GB2312" w:hint="eastAsia"/>
          <w:color w:val="auto"/>
          <w:szCs w:val="32"/>
        </w:rPr>
        <w:t>月</w:t>
      </w:r>
      <w:r>
        <w:rPr>
          <w:rFonts w:ascii="仿宋_GB2312"/>
          <w:color w:val="auto"/>
          <w:szCs w:val="32"/>
        </w:rPr>
        <w:t>4</w:t>
      </w:r>
      <w:r>
        <w:rPr>
          <w:rFonts w:ascii="仿宋_GB2312" w:hint="eastAsia"/>
          <w:color w:val="auto"/>
          <w:szCs w:val="32"/>
        </w:rPr>
        <w:t>日前完成审核推荐，省科技厅10月</w:t>
      </w:r>
      <w:r>
        <w:rPr>
          <w:rFonts w:ascii="仿宋_GB2312"/>
          <w:color w:val="auto"/>
          <w:szCs w:val="32"/>
        </w:rPr>
        <w:t>15</w:t>
      </w:r>
      <w:r>
        <w:rPr>
          <w:rFonts w:ascii="仿宋_GB2312" w:hint="eastAsia"/>
          <w:color w:val="auto"/>
          <w:szCs w:val="32"/>
        </w:rPr>
        <w:t>日前完成所有批次入库企业公示。</w:t>
      </w:r>
      <w:bookmarkEnd w:id="0"/>
    </w:p>
    <w:p w14:paraId="2A92C289" w14:textId="7AD6BC56" w:rsidR="00B34E43" w:rsidRDefault="00450367">
      <w:pPr>
        <w:spacing w:line="520" w:lineRule="exact"/>
        <w:ind w:firstLineChars="200" w:firstLine="640"/>
        <w:rPr>
          <w:rFonts w:ascii="仿宋_GB2312"/>
          <w:color w:val="auto"/>
          <w:szCs w:val="32"/>
        </w:rPr>
      </w:pPr>
      <w:r>
        <w:rPr>
          <w:rFonts w:ascii="仿宋_GB2312" w:hint="eastAsia"/>
          <w:color w:val="auto"/>
          <w:szCs w:val="32"/>
        </w:rPr>
        <w:t>请各单位按照本预通知要求做好相关工作，正式通知文件随后</w:t>
      </w:r>
      <w:r w:rsidR="000D1C37">
        <w:rPr>
          <w:rFonts w:ascii="仿宋_GB2312" w:hint="eastAsia"/>
          <w:color w:val="auto"/>
          <w:szCs w:val="32"/>
        </w:rPr>
        <w:t>印发</w:t>
      </w:r>
      <w:r>
        <w:rPr>
          <w:rFonts w:ascii="仿宋_GB2312" w:hint="eastAsia"/>
          <w:color w:val="auto"/>
          <w:szCs w:val="32"/>
        </w:rPr>
        <w:t>。</w:t>
      </w:r>
    </w:p>
    <w:p w14:paraId="2F6553C0" w14:textId="77777777" w:rsidR="00B34E43" w:rsidRDefault="00B34E43">
      <w:pPr>
        <w:pStyle w:val="NormalIndent"/>
        <w:ind w:firstLine="640"/>
        <w:rPr>
          <w:rFonts w:ascii="仿宋_GB2312"/>
          <w:color w:val="auto"/>
          <w:szCs w:val="32"/>
        </w:rPr>
      </w:pPr>
    </w:p>
    <w:p w14:paraId="5D4AAF82" w14:textId="77777777" w:rsidR="00B34E43" w:rsidRDefault="00450367">
      <w:pPr>
        <w:pStyle w:val="NormalIndent"/>
        <w:ind w:firstLine="640"/>
        <w:rPr>
          <w:rFonts w:ascii="仿宋_GB2312"/>
          <w:color w:val="auto"/>
          <w:szCs w:val="32"/>
        </w:rPr>
      </w:pPr>
      <w:r>
        <w:rPr>
          <w:rFonts w:ascii="仿宋_GB2312" w:hint="eastAsia"/>
          <w:color w:val="auto"/>
          <w:szCs w:val="32"/>
        </w:rPr>
        <w:t xml:space="preserve"> </w:t>
      </w:r>
    </w:p>
    <w:p w14:paraId="153C085D" w14:textId="77777777" w:rsidR="00B34E43" w:rsidRDefault="00450367">
      <w:pPr>
        <w:pStyle w:val="NormalIndent"/>
        <w:ind w:firstLine="640"/>
        <w:rPr>
          <w:rFonts w:ascii="仿宋_GB2312"/>
          <w:color w:val="auto"/>
          <w:szCs w:val="32"/>
        </w:rPr>
      </w:pPr>
      <w:r>
        <w:rPr>
          <w:rFonts w:ascii="仿宋_GB2312" w:hint="eastAsia"/>
          <w:color w:val="auto"/>
          <w:szCs w:val="32"/>
        </w:rPr>
        <w:t xml:space="preserve">                         河北省科技创新服务中心</w:t>
      </w:r>
    </w:p>
    <w:p w14:paraId="3B198E1C" w14:textId="77777777" w:rsidR="00B34E43" w:rsidRDefault="00450367">
      <w:pPr>
        <w:pStyle w:val="NormalIndent"/>
        <w:ind w:firstLine="640"/>
        <w:rPr>
          <w:rFonts w:ascii="仿宋_GB2312"/>
          <w:color w:val="auto"/>
          <w:szCs w:val="32"/>
        </w:rPr>
      </w:pPr>
      <w:r>
        <w:rPr>
          <w:rFonts w:ascii="仿宋_GB2312" w:hint="eastAsia"/>
          <w:color w:val="auto"/>
          <w:szCs w:val="32"/>
        </w:rPr>
        <w:t xml:space="preserve">                             2026年6月5日</w:t>
      </w:r>
    </w:p>
    <w:sectPr w:rsidR="00B34E43">
      <w:headerReference w:type="default" r:id="rId6"/>
      <w:footerReference w:type="even" r:id="rId7"/>
      <w:footerReference w:type="default" r:id="rId8"/>
      <w:pgSz w:w="11906" w:h="16838"/>
      <w:pgMar w:top="2098" w:right="1418" w:bottom="1418"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C247" w14:textId="77777777" w:rsidR="00541618" w:rsidRDefault="00541618">
      <w:r>
        <w:separator/>
      </w:r>
    </w:p>
  </w:endnote>
  <w:endnote w:type="continuationSeparator" w:id="0">
    <w:p w14:paraId="0A1C9798" w14:textId="77777777" w:rsidR="00541618" w:rsidRDefault="0054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小标宋体">
    <w:altName w:val="宋体"/>
    <w:charset w:val="00"/>
    <w:family w:val="moder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Microsoft YaHei UI"/>
    <w:charset w:val="86"/>
    <w:family w:val="script"/>
    <w:pitch w:val="default"/>
    <w:sig w:usb0="00000000"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0557" w14:textId="77777777" w:rsidR="00B34E43" w:rsidRDefault="00450367">
    <w:pPr>
      <w:pStyle w:val="a8"/>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14:paraId="0083A83C" w14:textId="77777777" w:rsidR="00B34E43" w:rsidRDefault="00B34E43">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F835" w14:textId="77777777" w:rsidR="00B34E43" w:rsidRDefault="00450367">
    <w:pPr>
      <w:pStyle w:val="a8"/>
      <w:ind w:right="360" w:firstLine="360"/>
    </w:pPr>
    <w:r>
      <w:rPr>
        <w:noProof/>
      </w:rPr>
      <mc:AlternateContent>
        <mc:Choice Requires="wps">
          <w:drawing>
            <wp:anchor distT="0" distB="0" distL="114300" distR="114300" simplePos="0" relativeHeight="251657728" behindDoc="0" locked="0" layoutInCell="1" allowOverlap="1" wp14:anchorId="76426A10" wp14:editId="6CEBDD39">
              <wp:simplePos x="0" y="0"/>
              <wp:positionH relativeFrom="margin">
                <wp:align>outside</wp:align>
              </wp:positionH>
              <wp:positionV relativeFrom="paragraph">
                <wp:posOffset>0</wp:posOffset>
              </wp:positionV>
              <wp:extent cx="1828800" cy="1828800"/>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F92C5D3" w14:textId="77777777" w:rsidR="00B34E43" w:rsidRDefault="00450367">
                          <w:pPr>
                            <w:pStyle w:val="a8"/>
                            <w:rPr>
                              <w:rStyle w:val="ac"/>
                              <w:rFonts w:ascii="宋体" w:eastAsia="宋体" w:hAnsi="宋体" w:hint="eastAsia"/>
                              <w:color w:val="000000"/>
                              <w:sz w:val="28"/>
                              <w:szCs w:val="28"/>
                            </w:rPr>
                          </w:pPr>
                          <w:r>
                            <w:rPr>
                              <w:rStyle w:val="ac"/>
                              <w:rFonts w:ascii="宋体" w:eastAsia="宋体" w:hAnsi="宋体"/>
                              <w:color w:val="000000"/>
                              <w:sz w:val="28"/>
                              <w:szCs w:val="28"/>
                            </w:rPr>
                            <w:fldChar w:fldCharType="begin"/>
                          </w:r>
                          <w:r>
                            <w:rPr>
                              <w:rStyle w:val="ac"/>
                              <w:rFonts w:ascii="宋体" w:eastAsia="宋体" w:hAnsi="宋体"/>
                              <w:color w:val="000000"/>
                              <w:sz w:val="28"/>
                              <w:szCs w:val="28"/>
                            </w:rPr>
                            <w:instrText xml:space="preserve">PAGE  </w:instrText>
                          </w:r>
                          <w:r>
                            <w:rPr>
                              <w:rStyle w:val="ac"/>
                              <w:rFonts w:ascii="宋体" w:eastAsia="宋体" w:hAnsi="宋体"/>
                              <w:color w:val="000000"/>
                              <w:sz w:val="28"/>
                              <w:szCs w:val="28"/>
                            </w:rPr>
                            <w:fldChar w:fldCharType="separate"/>
                          </w:r>
                          <w:r>
                            <w:rPr>
                              <w:rStyle w:val="ac"/>
                              <w:rFonts w:ascii="宋体" w:eastAsia="宋体" w:hAnsi="宋体"/>
                              <w:color w:val="000000"/>
                              <w:sz w:val="28"/>
                              <w:szCs w:val="28"/>
                            </w:rPr>
                            <w:t>- 2 -</w:t>
                          </w:r>
                          <w:r>
                            <w:rPr>
                              <w:rStyle w:val="ac"/>
                              <w:rFonts w:ascii="宋体" w:eastAsia="宋体" w:hAnsi="宋体"/>
                              <w:color w:val="000000"/>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26A10" id="_x0000_t202" coordsize="21600,21600" o:spt="202" path="m,l,21600r21600,l21600,xe">
              <v:stroke joinstyle="miter"/>
              <v:path gradientshapeok="t" o:connecttype="rect"/>
            </v:shapetype>
            <v:shape id="文本框 6" o:spid="_x0000_s1026" type="#_x0000_t202" style="position:absolute;left:0;text-align:left;margin-left:92.8pt;margin-top:0;width:2in;height:2in;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BrAp4W9AQAAeQMAAA4AAAAAAAAAAAAAAAAALgIAAGRycy9l&#10;Mm9Eb2MueG1sUEsBAi0AFAAGAAgAAAAhAIuFkJPZAAAABQEAAA8AAAAAAAAAAAAAAAAAFwQAAGRy&#10;cy9kb3ducmV2LnhtbFBLBQYAAAAABAAEAPMAAAAdBQAAAAA=&#10;" filled="f" stroked="f">
              <v:path arrowok="t"/>
              <v:textbox style="mso-fit-shape-to-text:t" inset="0,0,0,0">
                <w:txbxContent>
                  <w:p w14:paraId="2F92C5D3" w14:textId="77777777" w:rsidR="00B34E43" w:rsidRDefault="00450367">
                    <w:pPr>
                      <w:pStyle w:val="a8"/>
                      <w:rPr>
                        <w:rStyle w:val="ac"/>
                        <w:rFonts w:ascii="宋体" w:eastAsia="宋体" w:hAnsi="宋体" w:hint="eastAsia"/>
                        <w:color w:val="000000"/>
                        <w:sz w:val="28"/>
                        <w:szCs w:val="28"/>
                      </w:rPr>
                    </w:pPr>
                    <w:r>
                      <w:rPr>
                        <w:rStyle w:val="ac"/>
                        <w:rFonts w:ascii="宋体" w:eastAsia="宋体" w:hAnsi="宋体"/>
                        <w:color w:val="000000"/>
                        <w:sz w:val="28"/>
                        <w:szCs w:val="28"/>
                      </w:rPr>
                      <w:fldChar w:fldCharType="begin"/>
                    </w:r>
                    <w:r>
                      <w:rPr>
                        <w:rStyle w:val="ac"/>
                        <w:rFonts w:ascii="宋体" w:eastAsia="宋体" w:hAnsi="宋体"/>
                        <w:color w:val="000000"/>
                        <w:sz w:val="28"/>
                        <w:szCs w:val="28"/>
                      </w:rPr>
                      <w:instrText xml:space="preserve">PAGE  </w:instrText>
                    </w:r>
                    <w:r>
                      <w:rPr>
                        <w:rStyle w:val="ac"/>
                        <w:rFonts w:ascii="宋体" w:eastAsia="宋体" w:hAnsi="宋体"/>
                        <w:color w:val="000000"/>
                        <w:sz w:val="28"/>
                        <w:szCs w:val="28"/>
                      </w:rPr>
                      <w:fldChar w:fldCharType="separate"/>
                    </w:r>
                    <w:r>
                      <w:rPr>
                        <w:rStyle w:val="ac"/>
                        <w:rFonts w:ascii="宋体" w:eastAsia="宋体" w:hAnsi="宋体"/>
                        <w:color w:val="000000"/>
                        <w:sz w:val="28"/>
                        <w:szCs w:val="28"/>
                      </w:rPr>
                      <w:t>- 2 -</w:t>
                    </w:r>
                    <w:r>
                      <w:rPr>
                        <w:rStyle w:val="ac"/>
                        <w:rFonts w:ascii="宋体" w:eastAsia="宋体" w:hAnsi="宋体"/>
                        <w:color w:val="000000"/>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37EA6" w14:textId="77777777" w:rsidR="00541618" w:rsidRDefault="00541618">
      <w:r>
        <w:separator/>
      </w:r>
    </w:p>
  </w:footnote>
  <w:footnote w:type="continuationSeparator" w:id="0">
    <w:p w14:paraId="4AF7089F" w14:textId="77777777" w:rsidR="00541618" w:rsidRDefault="0054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388D" w14:textId="77777777" w:rsidR="00B34E43" w:rsidRDefault="00B34E43">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F1"/>
    <w:rsid w:val="00005E3B"/>
    <w:rsid w:val="000147C0"/>
    <w:rsid w:val="00085086"/>
    <w:rsid w:val="00093C5D"/>
    <w:rsid w:val="00096A89"/>
    <w:rsid w:val="000B5F28"/>
    <w:rsid w:val="000D1C37"/>
    <w:rsid w:val="000D435F"/>
    <w:rsid w:val="001436A0"/>
    <w:rsid w:val="00145B3A"/>
    <w:rsid w:val="001815C2"/>
    <w:rsid w:val="00192F31"/>
    <w:rsid w:val="001C2E59"/>
    <w:rsid w:val="001D6E82"/>
    <w:rsid w:val="002260EB"/>
    <w:rsid w:val="002407F6"/>
    <w:rsid w:val="00257ED0"/>
    <w:rsid w:val="0026385D"/>
    <w:rsid w:val="00295711"/>
    <w:rsid w:val="002A1168"/>
    <w:rsid w:val="002D36ED"/>
    <w:rsid w:val="002E16CD"/>
    <w:rsid w:val="00390870"/>
    <w:rsid w:val="00395679"/>
    <w:rsid w:val="003965ED"/>
    <w:rsid w:val="003F000F"/>
    <w:rsid w:val="0041582C"/>
    <w:rsid w:val="0044306C"/>
    <w:rsid w:val="00450367"/>
    <w:rsid w:val="004933C4"/>
    <w:rsid w:val="004D6C2E"/>
    <w:rsid w:val="00541618"/>
    <w:rsid w:val="005439B0"/>
    <w:rsid w:val="005913F1"/>
    <w:rsid w:val="005945C3"/>
    <w:rsid w:val="005B039C"/>
    <w:rsid w:val="005E2C1E"/>
    <w:rsid w:val="0062306A"/>
    <w:rsid w:val="0064728C"/>
    <w:rsid w:val="00685B53"/>
    <w:rsid w:val="00756BB4"/>
    <w:rsid w:val="007774F9"/>
    <w:rsid w:val="00796BF8"/>
    <w:rsid w:val="007A7532"/>
    <w:rsid w:val="007C7DEC"/>
    <w:rsid w:val="007D331B"/>
    <w:rsid w:val="00814849"/>
    <w:rsid w:val="0082622F"/>
    <w:rsid w:val="00886165"/>
    <w:rsid w:val="008951E1"/>
    <w:rsid w:val="00895777"/>
    <w:rsid w:val="008B6853"/>
    <w:rsid w:val="008D03BB"/>
    <w:rsid w:val="008E2722"/>
    <w:rsid w:val="00940816"/>
    <w:rsid w:val="00982662"/>
    <w:rsid w:val="00992EFF"/>
    <w:rsid w:val="009A67A8"/>
    <w:rsid w:val="009C177B"/>
    <w:rsid w:val="00A4617E"/>
    <w:rsid w:val="00AA2B19"/>
    <w:rsid w:val="00AA7335"/>
    <w:rsid w:val="00AB47D0"/>
    <w:rsid w:val="00AC7F05"/>
    <w:rsid w:val="00B1702D"/>
    <w:rsid w:val="00B34E43"/>
    <w:rsid w:val="00BC1D03"/>
    <w:rsid w:val="00C011C4"/>
    <w:rsid w:val="00C81A07"/>
    <w:rsid w:val="00C92D9F"/>
    <w:rsid w:val="00CD3B69"/>
    <w:rsid w:val="00CF5DD3"/>
    <w:rsid w:val="00D02C5C"/>
    <w:rsid w:val="00D20A60"/>
    <w:rsid w:val="00D30A61"/>
    <w:rsid w:val="00D34552"/>
    <w:rsid w:val="00D37C14"/>
    <w:rsid w:val="00D7637E"/>
    <w:rsid w:val="00D838F2"/>
    <w:rsid w:val="00D9376F"/>
    <w:rsid w:val="00DA7660"/>
    <w:rsid w:val="00DD7395"/>
    <w:rsid w:val="00E15BC0"/>
    <w:rsid w:val="00E36ABA"/>
    <w:rsid w:val="00E7033C"/>
    <w:rsid w:val="00E95BE2"/>
    <w:rsid w:val="00EC3484"/>
    <w:rsid w:val="00EC505A"/>
    <w:rsid w:val="00EF5439"/>
    <w:rsid w:val="00F12CD8"/>
    <w:rsid w:val="00F22B54"/>
    <w:rsid w:val="00F53BF3"/>
    <w:rsid w:val="00F6544C"/>
    <w:rsid w:val="00F66E86"/>
    <w:rsid w:val="00FC3488"/>
    <w:rsid w:val="00FD595D"/>
    <w:rsid w:val="344108D1"/>
    <w:rsid w:val="5EE554DA"/>
    <w:rsid w:val="63D43D94"/>
    <w:rsid w:val="7A67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435C0"/>
  <w15:chartTrackingRefBased/>
  <w15:docId w15:val="{411BD924-6EB6-7045-A484-6228DBA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NormalIndent"/>
    <w:qFormat/>
    <w:pPr>
      <w:widowControl w:val="0"/>
      <w:jc w:val="both"/>
    </w:pPr>
    <w:rPr>
      <w:rFonts w:eastAsia="仿宋_GB2312"/>
      <w:color w:val="0000FF"/>
      <w:kern w:val="2"/>
      <w:sz w:val="32"/>
      <w:szCs w:val="24"/>
    </w:rPr>
  </w:style>
  <w:style w:type="paragraph" w:styleId="1">
    <w:name w:val="heading 1"/>
    <w:basedOn w:val="a"/>
    <w:next w:val="a"/>
    <w:qFormat/>
    <w:pPr>
      <w:adjustRightInd w:val="0"/>
      <w:snapToGrid w:val="0"/>
      <w:spacing w:line="336" w:lineRule="auto"/>
      <w:ind w:firstLineChars="200" w:firstLine="624"/>
      <w:outlineLvl w:val="0"/>
    </w:pPr>
    <w:rPr>
      <w:rFonts w:eastAsia="黑体"/>
      <w:color w:val="auto"/>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qFormat/>
    <w:pPr>
      <w:ind w:firstLineChars="200" w:firstLine="880"/>
      <w:textAlignment w:val="baseline"/>
    </w:pPr>
  </w:style>
  <w:style w:type="paragraph" w:styleId="a3">
    <w:name w:val="Body Text"/>
    <w:basedOn w:val="a"/>
    <w:pPr>
      <w:jc w:val="center"/>
    </w:pPr>
  </w:style>
  <w:style w:type="paragraph" w:styleId="a4">
    <w:name w:val="Body Text Indent"/>
    <w:basedOn w:val="a"/>
    <w:next w:val="a5"/>
    <w:uiPriority w:val="99"/>
    <w:unhideWhenUsed/>
    <w:qFormat/>
    <w:pPr>
      <w:ind w:leftChars="200" w:left="420"/>
    </w:pPr>
  </w:style>
  <w:style w:type="paragraph" w:styleId="a5">
    <w:name w:val="envelope return"/>
    <w:basedOn w:val="a"/>
    <w:next w:val="a"/>
    <w:qFormat/>
    <w:pPr>
      <w:snapToGrid w:val="0"/>
    </w:pPr>
    <w:rPr>
      <w:rFonts w:ascii="Arial" w:hAnsi="Arial"/>
    </w:rPr>
  </w:style>
  <w:style w:type="paragraph" w:styleId="a6">
    <w:name w:val="Balloon Text"/>
    <w:basedOn w:val="a"/>
    <w:link w:val="a7"/>
    <w:rPr>
      <w:sz w:val="18"/>
      <w:szCs w:val="18"/>
    </w:rPr>
  </w:style>
  <w:style w:type="character" w:customStyle="1" w:styleId="a7">
    <w:name w:val="批注框文本 字符"/>
    <w:link w:val="a6"/>
    <w:rPr>
      <w:rFonts w:eastAsia="仿宋_GB2312"/>
      <w:color w:val="0000FF"/>
      <w:kern w:val="2"/>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kern w:val="0"/>
      <w:sz w:val="24"/>
    </w:rPr>
  </w:style>
  <w:style w:type="paragraph" w:styleId="2">
    <w:name w:val="Body Text First Indent 2"/>
    <w:basedOn w:val="a4"/>
    <w:next w:val="a"/>
    <w:uiPriority w:val="99"/>
    <w:unhideWhenUsed/>
    <w:qFormat/>
    <w:pPr>
      <w:ind w:leftChars="0" w:left="0" w:firstLineChars="200" w:firstLine="420"/>
    </w:pPr>
    <w:rPr>
      <w:rFonts w:ascii="仿宋_GB2312"/>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HTML">
    <w:name w:val="HTML Typewriter"/>
    <w:rPr>
      <w:rFonts w:ascii="黑体" w:eastAsia="黑体" w:hAnsi="Courier New" w:cs="Courier New" w:hint="eastAsia"/>
      <w:spacing w:val="31680"/>
      <w:sz w:val="24"/>
      <w:szCs w:val="24"/>
    </w:rPr>
  </w:style>
  <w:style w:type="paragraph" w:customStyle="1" w:styleId="TableText">
    <w:name w:val="Table Text"/>
    <w:basedOn w:val="a"/>
    <w:semiHidden/>
    <w:qFormat/>
    <w:rPr>
      <w:rFonts w:ascii="宋体" w:eastAsia="宋体" w:hAnsi="宋体" w:cs="宋体"/>
      <w:sz w:val="22"/>
      <w:szCs w:val="22"/>
      <w:lang w:eastAsia="en-US"/>
    </w:rPr>
  </w:style>
  <w:style w:type="paragraph" w:customStyle="1" w:styleId="ad">
    <w:name w:val="附件标题"/>
    <w:next w:val="a"/>
    <w:qFormat/>
    <w:pPr>
      <w:widowControl w:val="0"/>
      <w:adjustRightInd w:val="0"/>
      <w:snapToGrid w:val="0"/>
      <w:spacing w:line="300" w:lineRule="auto"/>
      <w:jc w:val="center"/>
      <w:outlineLvl w:val="3"/>
    </w:pPr>
    <w:rPr>
      <w:rFonts w:ascii="Times New Roman" w:eastAsia="长城小标宋体" w:hAnsi="Times New Roman"/>
      <w:b/>
      <w:bCs/>
      <w:spacing w:val="6"/>
      <w:kern w:val="2"/>
      <w:sz w:val="36"/>
      <w:szCs w:val="36"/>
    </w:rPr>
  </w:style>
  <w:style w:type="table" w:customStyle="1" w:styleId="21">
    <w:name w:val="无格式表格 21"/>
    <w:uiPriority w:val="42"/>
    <w:qFormat/>
    <w:rPr>
      <w:rFonts w:ascii="等线" w:eastAsia="等线" w:hAnsi="等线"/>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56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1019</Words>
  <Characters>1051</Characters>
  <Application>Microsoft Office Word</Application>
  <DocSecurity>0</DocSecurity>
  <Lines>47</Lines>
  <Paragraphs>30</Paragraphs>
  <ScaleCrop>false</ScaleCrop>
  <Company>Lenovo (Beijing) Limited</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冀科  〔2012〕  号</dc:title>
  <dc:subject/>
  <dc:creator>Lenovo User</dc:creator>
  <cp:keywords/>
  <dc:description/>
  <cp:lastModifiedBy>鹏 陈</cp:lastModifiedBy>
  <cp:revision>3</cp:revision>
  <cp:lastPrinted>2017-11-09T02:33:00Z</cp:lastPrinted>
  <dcterms:created xsi:type="dcterms:W3CDTF">2026-06-05T06:22:00Z</dcterms:created>
  <dcterms:modified xsi:type="dcterms:W3CDTF">2026-06-05T06:22:00Z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eyJoZGlkIjoiMzFlMWU2NTFmMDQxZjRlNTYzNGU0MGMzMGRhNDAyNTAiLCJ1c2VySWQiOiIyOTgzMjM3NzYifQ==</vt:lpwstr>
  </property>
  <property fmtid="{D5CDD505-2E9C-101B-9397-08002B2CF9AE}" pid="4" name="ICV">
    <vt:lpwstr>8820C79CA7034A579BA5EC11F7DAADE9_12</vt:lpwstr>
  </property>
</Properties>
</file>